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D361B" w14:textId="77777777" w:rsidR="00634B59" w:rsidRPr="009C5E44" w:rsidRDefault="00634B59" w:rsidP="00634B59">
      <w:pPr>
        <w:shd w:val="clear" w:color="auto" w:fill="E6E6E6"/>
        <w:spacing w:line="288" w:lineRule="auto"/>
        <w:ind w:right="23"/>
        <w:jc w:val="center"/>
        <w:rPr>
          <w:rFonts w:ascii="Times New Roman" w:hAnsi="Times New Roman"/>
          <w:b/>
          <w:bCs/>
        </w:rPr>
      </w:pPr>
      <w:r w:rsidRPr="009C5E44">
        <w:rPr>
          <w:rFonts w:ascii="Times New Roman" w:hAnsi="Times New Roman"/>
          <w:b/>
          <w:bCs/>
        </w:rPr>
        <w:t xml:space="preserve">Kapitel 13 – Transmissionsprozess der </w:t>
      </w:r>
      <w:proofErr w:type="spellStart"/>
      <w:r w:rsidRPr="009C5E44">
        <w:rPr>
          <w:rFonts w:ascii="Times New Roman" w:hAnsi="Times New Roman"/>
          <w:b/>
          <w:bCs/>
        </w:rPr>
        <w:t>Geldpolitk</w:t>
      </w:r>
      <w:proofErr w:type="spellEnd"/>
    </w:p>
    <w:p w14:paraId="66A1539E" w14:textId="77777777" w:rsidR="00634B59" w:rsidRPr="009C5E44" w:rsidRDefault="00634B59" w:rsidP="00634B59">
      <w:pPr>
        <w:shd w:val="clear" w:color="auto" w:fill="E6E6E6"/>
        <w:spacing w:line="288" w:lineRule="auto"/>
        <w:ind w:right="23"/>
        <w:jc w:val="center"/>
        <w:rPr>
          <w:rFonts w:ascii="Times New Roman" w:hAnsi="Times New Roman"/>
          <w:b/>
          <w:bCs/>
          <w:sz w:val="28"/>
          <w:szCs w:val="28"/>
        </w:rPr>
      </w:pPr>
      <w:r w:rsidRPr="009C5E44">
        <w:rPr>
          <w:rFonts w:ascii="Times New Roman" w:hAnsi="Times New Roman"/>
          <w:b/>
          <w:bCs/>
        </w:rPr>
        <w:t>Exkurs „Geldpolitik und Schocks</w:t>
      </w:r>
      <w:r w:rsidRPr="009C5E44">
        <w:rPr>
          <w:rFonts w:ascii="Times New Roman" w:hAnsi="Times New Roman"/>
          <w:b/>
          <w:bCs/>
          <w:sz w:val="28"/>
          <w:szCs w:val="28"/>
        </w:rPr>
        <w:t>“</w:t>
      </w:r>
    </w:p>
    <w:p w14:paraId="5611BBE0" w14:textId="77777777" w:rsidR="00634B59" w:rsidRPr="009C5E44" w:rsidRDefault="00634B59" w:rsidP="008B6689">
      <w:pPr>
        <w:pStyle w:val="U3-111"/>
      </w:pPr>
    </w:p>
    <w:p w14:paraId="0161544D" w14:textId="3C0BD27B" w:rsidR="008B6689" w:rsidRPr="009C5E44" w:rsidRDefault="00634B59" w:rsidP="008B6689">
      <w:pPr>
        <w:pStyle w:val="GS"/>
        <w:rPr>
          <w:sz w:val="22"/>
          <w:szCs w:val="22"/>
        </w:rPr>
      </w:pPr>
      <w:r w:rsidRPr="009C5E44">
        <w:rPr>
          <w:sz w:val="22"/>
          <w:szCs w:val="22"/>
        </w:rPr>
        <w:t xml:space="preserve">Das folgende Modell widmet sich </w:t>
      </w:r>
      <w:r w:rsidR="008B6689" w:rsidRPr="009C5E44">
        <w:rPr>
          <w:sz w:val="22"/>
          <w:szCs w:val="22"/>
        </w:rPr>
        <w:t xml:space="preserve">der Frage, wie sich die Notenbank im Fall von makroökonomischen Schocks verhalten soll. Die EZB bzw. das Eurosystem ist beispielsweise in ihren Entscheidungen nicht frei, sondern </w:t>
      </w:r>
      <w:r w:rsidR="00A61122" w:rsidRPr="009C5E44">
        <w:rPr>
          <w:sz w:val="22"/>
          <w:szCs w:val="22"/>
        </w:rPr>
        <w:t xml:space="preserve">ist </w:t>
      </w:r>
      <w:r w:rsidR="008B6689" w:rsidRPr="009C5E44">
        <w:rPr>
          <w:sz w:val="22"/>
          <w:szCs w:val="22"/>
        </w:rPr>
        <w:t xml:space="preserve">bestimmten verfassungsrechtlichen Regelungen unterworfen. Im Vordergrund steht das Ziel der Preisstabilität. Aus Vereinfachungsgründen </w:t>
      </w:r>
      <w:r w:rsidRPr="009C5E44">
        <w:rPr>
          <w:sz w:val="22"/>
          <w:szCs w:val="22"/>
        </w:rPr>
        <w:t xml:space="preserve">betrachten </w:t>
      </w:r>
      <w:r w:rsidR="008B6689" w:rsidRPr="009C5E44">
        <w:rPr>
          <w:sz w:val="22"/>
          <w:szCs w:val="22"/>
        </w:rPr>
        <w:t xml:space="preserve">wir </w:t>
      </w:r>
      <w:r w:rsidRPr="009C5E44">
        <w:rPr>
          <w:sz w:val="22"/>
          <w:szCs w:val="22"/>
        </w:rPr>
        <w:t>ein Modell e</w:t>
      </w:r>
      <w:r w:rsidR="008B6689" w:rsidRPr="009C5E44">
        <w:rPr>
          <w:sz w:val="22"/>
          <w:szCs w:val="22"/>
        </w:rPr>
        <w:t xml:space="preserve">iner geschlossenen Volkswirtschaft ohne Staat. </w:t>
      </w:r>
    </w:p>
    <w:p w14:paraId="0DEBABDF" w14:textId="77777777" w:rsidR="008B6689" w:rsidRPr="009C5E44" w:rsidRDefault="008B6689" w:rsidP="008B6689">
      <w:pPr>
        <w:pStyle w:val="U4"/>
        <w:rPr>
          <w:rFonts w:ascii="Times New Roman" w:hAnsi="Times New Roman" w:cs="Times New Roman"/>
          <w:sz w:val="22"/>
          <w:szCs w:val="22"/>
        </w:rPr>
      </w:pPr>
      <w:r w:rsidRPr="009C5E44">
        <w:rPr>
          <w:rFonts w:ascii="Times New Roman" w:hAnsi="Times New Roman" w:cs="Times New Roman"/>
          <w:sz w:val="22"/>
          <w:szCs w:val="22"/>
        </w:rPr>
        <w:t>Modellrahmen zur Diskussion von Geldpolitik und Schocks</w:t>
      </w:r>
    </w:p>
    <w:p w14:paraId="252D4FB3" w14:textId="77777777" w:rsidR="00634B59" w:rsidRPr="009C5E44" w:rsidRDefault="008B6689" w:rsidP="008B6689">
      <w:pPr>
        <w:pStyle w:val="GS"/>
        <w:rPr>
          <w:sz w:val="22"/>
          <w:szCs w:val="22"/>
        </w:rPr>
      </w:pPr>
      <w:r w:rsidRPr="009C5E44">
        <w:rPr>
          <w:sz w:val="22"/>
          <w:szCs w:val="22"/>
        </w:rPr>
        <w:t>Zunächst wollen wir einen Zusammenhang zwischen Zins und gesamtwirtschaftlicher Nachfrage herstellen. Mit der IS-Funktion und den zinsabhängigen Investitionen haben wir dazu einen entsprechenden Rahmen kennengelernt. Wir nehmen an, die Investitionsfunktion habe folgende Form</w:t>
      </w:r>
      <w:r w:rsidR="00634B59" w:rsidRPr="009C5E44">
        <w:rPr>
          <w:sz w:val="22"/>
          <w:szCs w:val="22"/>
        </w:rPr>
        <w:t>:</w:t>
      </w:r>
    </w:p>
    <w:p w14:paraId="56574228" w14:textId="77777777" w:rsidR="008B6689" w:rsidRPr="009C5E44" w:rsidRDefault="008B6689" w:rsidP="008B6689">
      <w:pPr>
        <w:pStyle w:val="GS"/>
        <w:rPr>
          <w:sz w:val="22"/>
          <w:szCs w:val="22"/>
          <w:vertAlign w:val="superscript"/>
        </w:rPr>
      </w:pPr>
      <w:r w:rsidRPr="009C5E44">
        <w:rPr>
          <w:sz w:val="22"/>
          <w:szCs w:val="22"/>
        </w:rPr>
        <w:t xml:space="preserve"> I = </w:t>
      </w:r>
      <w:r w:rsidR="007342FD" w:rsidRPr="009C5E44">
        <w:rPr>
          <w:sz w:val="22"/>
          <w:szCs w:val="22"/>
        </w:rPr>
        <w:t>60</w:t>
      </w:r>
      <w:r w:rsidR="0074619A" w:rsidRPr="009C5E44">
        <w:rPr>
          <w:sz w:val="22"/>
          <w:szCs w:val="22"/>
        </w:rPr>
        <w:t>0</w:t>
      </w:r>
      <w:r w:rsidRPr="009C5E44">
        <w:rPr>
          <w:sz w:val="22"/>
          <w:szCs w:val="22"/>
        </w:rPr>
        <w:t xml:space="preserve"> – 2</w:t>
      </w:r>
      <w:r w:rsidR="007342FD" w:rsidRPr="009C5E44">
        <w:rPr>
          <w:sz w:val="22"/>
          <w:szCs w:val="22"/>
        </w:rPr>
        <w:t>5</w:t>
      </w:r>
      <w:r w:rsidR="0074619A" w:rsidRPr="009C5E44">
        <w:rPr>
          <w:sz w:val="22"/>
          <w:szCs w:val="22"/>
        </w:rPr>
        <w:t xml:space="preserve"> </w:t>
      </w:r>
      <w:r w:rsidR="00634B59" w:rsidRPr="009C5E44">
        <w:rPr>
          <w:sz w:val="22"/>
          <w:szCs w:val="22"/>
        </w:rPr>
        <w:t>•</w:t>
      </w:r>
      <w:r w:rsidRPr="009C5E44">
        <w:rPr>
          <w:sz w:val="22"/>
          <w:szCs w:val="22"/>
        </w:rPr>
        <w:t xml:space="preserve"> </w:t>
      </w:r>
      <w:proofErr w:type="spellStart"/>
      <w:r w:rsidRPr="009C5E44">
        <w:rPr>
          <w:sz w:val="22"/>
          <w:szCs w:val="22"/>
        </w:rPr>
        <w:t>i</w:t>
      </w:r>
      <w:r w:rsidRPr="009C5E44">
        <w:rPr>
          <w:sz w:val="22"/>
          <w:szCs w:val="22"/>
          <w:vertAlign w:val="superscript"/>
        </w:rPr>
        <w:t>nominal</w:t>
      </w:r>
      <w:proofErr w:type="spellEnd"/>
      <w:r w:rsidRPr="009C5E44">
        <w:rPr>
          <w:sz w:val="22"/>
          <w:szCs w:val="22"/>
          <w:vertAlign w:val="superscript"/>
        </w:rPr>
        <w:t xml:space="preserve"> </w:t>
      </w:r>
    </w:p>
    <w:p w14:paraId="6C91DC98" w14:textId="77777777" w:rsidR="008B6689" w:rsidRPr="009C5E44" w:rsidRDefault="008B6689" w:rsidP="008B6689">
      <w:pPr>
        <w:pStyle w:val="GS"/>
        <w:rPr>
          <w:sz w:val="22"/>
          <w:szCs w:val="22"/>
        </w:rPr>
      </w:pPr>
      <w:r w:rsidRPr="009C5E44">
        <w:rPr>
          <w:sz w:val="22"/>
          <w:szCs w:val="22"/>
        </w:rPr>
        <w:t xml:space="preserve">Da die Investitionen vom Realzins abhängen, müssen wir die Funktion umwandeln. Dazu benutzen wir die </w:t>
      </w:r>
      <w:r w:rsidRPr="009C5E44">
        <w:rPr>
          <w:bCs/>
          <w:sz w:val="22"/>
          <w:szCs w:val="22"/>
        </w:rPr>
        <w:t>Fisher-Gleichung</w:t>
      </w:r>
      <w:r w:rsidR="0074619A" w:rsidRPr="009C5E44">
        <w:rPr>
          <w:bCs/>
          <w:sz w:val="22"/>
          <w:szCs w:val="22"/>
        </w:rPr>
        <w:t>.</w:t>
      </w:r>
      <w:r w:rsidRPr="009C5E44">
        <w:rPr>
          <w:sz w:val="22"/>
          <w:szCs w:val="22"/>
        </w:rPr>
        <w:t xml:space="preserve"> Für eine erwartete Inflationsrate von 2 Prozent erhalten wir:</w:t>
      </w:r>
    </w:p>
    <w:p w14:paraId="32C8B67F" w14:textId="77777777" w:rsidR="008B6689" w:rsidRPr="009C5E44" w:rsidRDefault="008B6689" w:rsidP="008B6689">
      <w:pPr>
        <w:pStyle w:val="GS"/>
        <w:rPr>
          <w:sz w:val="22"/>
          <w:szCs w:val="22"/>
        </w:rPr>
      </w:pPr>
      <w:r w:rsidRPr="009C5E44">
        <w:rPr>
          <w:sz w:val="22"/>
          <w:szCs w:val="22"/>
        </w:rPr>
        <w:t xml:space="preserve">I = </w:t>
      </w:r>
      <w:r w:rsidR="007342FD" w:rsidRPr="009C5E44">
        <w:rPr>
          <w:sz w:val="22"/>
          <w:szCs w:val="22"/>
        </w:rPr>
        <w:t>6</w:t>
      </w:r>
      <w:r w:rsidR="0074619A" w:rsidRPr="009C5E44">
        <w:rPr>
          <w:sz w:val="22"/>
          <w:szCs w:val="22"/>
        </w:rPr>
        <w:t>00</w:t>
      </w:r>
      <w:r w:rsidRPr="009C5E44">
        <w:rPr>
          <w:sz w:val="22"/>
          <w:szCs w:val="22"/>
        </w:rPr>
        <w:t xml:space="preserve"> – 2</w:t>
      </w:r>
      <w:r w:rsidR="007342FD" w:rsidRPr="009C5E44">
        <w:rPr>
          <w:sz w:val="22"/>
          <w:szCs w:val="22"/>
        </w:rPr>
        <w:t>5</w:t>
      </w:r>
      <w:r w:rsidRPr="009C5E44">
        <w:rPr>
          <w:sz w:val="22"/>
          <w:szCs w:val="22"/>
        </w:rPr>
        <w:t xml:space="preserve"> • (</w:t>
      </w:r>
      <w:proofErr w:type="spellStart"/>
      <w:r w:rsidRPr="009C5E44">
        <w:rPr>
          <w:sz w:val="22"/>
          <w:szCs w:val="22"/>
        </w:rPr>
        <w:t>i</w:t>
      </w:r>
      <w:r w:rsidRPr="009C5E44">
        <w:rPr>
          <w:sz w:val="22"/>
          <w:szCs w:val="22"/>
          <w:vertAlign w:val="superscript"/>
        </w:rPr>
        <w:t>real</w:t>
      </w:r>
      <w:proofErr w:type="spellEnd"/>
      <w:r w:rsidRPr="009C5E44">
        <w:rPr>
          <w:sz w:val="22"/>
          <w:szCs w:val="22"/>
        </w:rPr>
        <w:t xml:space="preserve"> + 2) oder</w:t>
      </w:r>
    </w:p>
    <w:p w14:paraId="590DE29A" w14:textId="77777777" w:rsidR="008B6689" w:rsidRPr="009C5E44" w:rsidRDefault="008B6689" w:rsidP="008B6689">
      <w:pPr>
        <w:pStyle w:val="GS"/>
        <w:rPr>
          <w:sz w:val="22"/>
          <w:szCs w:val="22"/>
        </w:rPr>
      </w:pPr>
      <w:r w:rsidRPr="009C5E44">
        <w:rPr>
          <w:sz w:val="22"/>
          <w:szCs w:val="22"/>
        </w:rPr>
        <w:t xml:space="preserve">I = </w:t>
      </w:r>
      <w:r w:rsidR="007342FD" w:rsidRPr="009C5E44">
        <w:rPr>
          <w:sz w:val="22"/>
          <w:szCs w:val="22"/>
        </w:rPr>
        <w:t>55</w:t>
      </w:r>
      <w:r w:rsidR="0074619A" w:rsidRPr="009C5E44">
        <w:rPr>
          <w:sz w:val="22"/>
          <w:szCs w:val="22"/>
        </w:rPr>
        <w:t>0</w:t>
      </w:r>
      <w:r w:rsidRPr="009C5E44">
        <w:rPr>
          <w:sz w:val="22"/>
          <w:szCs w:val="22"/>
        </w:rPr>
        <w:t xml:space="preserve"> – 2</w:t>
      </w:r>
      <w:r w:rsidR="007342FD" w:rsidRPr="009C5E44">
        <w:rPr>
          <w:sz w:val="22"/>
          <w:szCs w:val="22"/>
        </w:rPr>
        <w:t>5</w:t>
      </w:r>
      <w:r w:rsidRPr="009C5E44">
        <w:rPr>
          <w:sz w:val="22"/>
          <w:szCs w:val="22"/>
        </w:rPr>
        <w:t xml:space="preserve"> • </w:t>
      </w:r>
      <w:proofErr w:type="spellStart"/>
      <w:r w:rsidRPr="009C5E44">
        <w:rPr>
          <w:sz w:val="22"/>
          <w:szCs w:val="22"/>
        </w:rPr>
        <w:t>i</w:t>
      </w:r>
      <w:r w:rsidRPr="009C5E44">
        <w:rPr>
          <w:sz w:val="22"/>
          <w:szCs w:val="22"/>
          <w:vertAlign w:val="superscript"/>
        </w:rPr>
        <w:t>real</w:t>
      </w:r>
      <w:proofErr w:type="spellEnd"/>
    </w:p>
    <w:p w14:paraId="04BB1E31" w14:textId="77777777" w:rsidR="008B6689" w:rsidRPr="009C5E44" w:rsidRDefault="008B6689" w:rsidP="008B6689">
      <w:pPr>
        <w:pStyle w:val="GS"/>
        <w:rPr>
          <w:sz w:val="22"/>
          <w:szCs w:val="22"/>
        </w:rPr>
      </w:pPr>
      <w:r w:rsidRPr="009C5E44">
        <w:rPr>
          <w:sz w:val="22"/>
          <w:szCs w:val="22"/>
        </w:rPr>
        <w:t>Hinzu kommen die Konsumausgaben, die wir durch folgende Konsumfunktion darstellen:</w:t>
      </w:r>
    </w:p>
    <w:p w14:paraId="1981F507" w14:textId="77777777" w:rsidR="008B6689" w:rsidRPr="009C5E44" w:rsidRDefault="008B6689" w:rsidP="008B6689">
      <w:pPr>
        <w:pStyle w:val="GS"/>
        <w:rPr>
          <w:sz w:val="22"/>
          <w:szCs w:val="22"/>
        </w:rPr>
      </w:pPr>
      <w:r w:rsidRPr="009C5E44">
        <w:rPr>
          <w:sz w:val="22"/>
          <w:szCs w:val="22"/>
        </w:rPr>
        <w:t xml:space="preserve">C = </w:t>
      </w:r>
      <w:r w:rsidR="0074619A" w:rsidRPr="009C5E44">
        <w:rPr>
          <w:sz w:val="22"/>
          <w:szCs w:val="22"/>
        </w:rPr>
        <w:t>100</w:t>
      </w:r>
      <w:r w:rsidRPr="009C5E44">
        <w:rPr>
          <w:sz w:val="22"/>
          <w:szCs w:val="22"/>
        </w:rPr>
        <w:t xml:space="preserve"> + 0,</w:t>
      </w:r>
      <w:r w:rsidR="0074619A" w:rsidRPr="009C5E44">
        <w:rPr>
          <w:sz w:val="22"/>
          <w:szCs w:val="22"/>
        </w:rPr>
        <w:t>8</w:t>
      </w:r>
      <w:r w:rsidRPr="009C5E44">
        <w:rPr>
          <w:sz w:val="22"/>
          <w:szCs w:val="22"/>
        </w:rPr>
        <w:t xml:space="preserve"> •</w:t>
      </w:r>
      <w:r w:rsidRPr="009C5E44">
        <w:rPr>
          <w:bCs/>
          <w:sz w:val="22"/>
          <w:szCs w:val="22"/>
        </w:rPr>
        <w:t xml:space="preserve"> </w:t>
      </w:r>
      <w:r w:rsidRPr="009C5E44">
        <w:rPr>
          <w:sz w:val="22"/>
          <w:szCs w:val="22"/>
        </w:rPr>
        <w:t>Y</w:t>
      </w:r>
    </w:p>
    <w:p w14:paraId="29A1BC00" w14:textId="77777777" w:rsidR="008B6689" w:rsidRPr="009C5E44" w:rsidRDefault="008B6689" w:rsidP="008B6689">
      <w:pPr>
        <w:pStyle w:val="GS"/>
        <w:rPr>
          <w:sz w:val="22"/>
          <w:szCs w:val="22"/>
        </w:rPr>
      </w:pPr>
      <w:r w:rsidRPr="009C5E44">
        <w:rPr>
          <w:sz w:val="22"/>
          <w:szCs w:val="22"/>
        </w:rPr>
        <w:t>Liegt der gleichgewichtige Realzins bei 2 Prozent, dann ergibt sich die gesamtwirtschaftliche Nachfrage, die einen hohen Beschäftigungsstand gewährleistet, als:</w:t>
      </w:r>
    </w:p>
    <w:p w14:paraId="3CB61727" w14:textId="77777777" w:rsidR="008B6689" w:rsidRPr="009C5E44" w:rsidRDefault="008B6689" w:rsidP="008B6689">
      <w:pPr>
        <w:pStyle w:val="GS"/>
        <w:rPr>
          <w:sz w:val="22"/>
          <w:szCs w:val="22"/>
        </w:rPr>
      </w:pPr>
      <w:r w:rsidRPr="009C5E44">
        <w:rPr>
          <w:sz w:val="22"/>
          <w:szCs w:val="22"/>
        </w:rPr>
        <w:t>Y = (</w:t>
      </w:r>
      <w:r w:rsidR="0074619A" w:rsidRPr="009C5E44">
        <w:rPr>
          <w:sz w:val="22"/>
          <w:szCs w:val="22"/>
        </w:rPr>
        <w:t>100</w:t>
      </w:r>
      <w:r w:rsidRPr="009C5E44">
        <w:rPr>
          <w:sz w:val="22"/>
          <w:szCs w:val="22"/>
        </w:rPr>
        <w:t xml:space="preserve"> + 0,</w:t>
      </w:r>
      <w:r w:rsidR="0074619A" w:rsidRPr="009C5E44">
        <w:rPr>
          <w:sz w:val="22"/>
          <w:szCs w:val="22"/>
        </w:rPr>
        <w:t>8</w:t>
      </w:r>
      <w:r w:rsidRPr="009C5E44">
        <w:rPr>
          <w:sz w:val="22"/>
          <w:szCs w:val="22"/>
        </w:rPr>
        <w:t xml:space="preserve"> •</w:t>
      </w:r>
      <w:r w:rsidRPr="009C5E44">
        <w:rPr>
          <w:bCs/>
          <w:sz w:val="22"/>
          <w:szCs w:val="22"/>
        </w:rPr>
        <w:t xml:space="preserve"> </w:t>
      </w:r>
      <w:r w:rsidRPr="009C5E44">
        <w:rPr>
          <w:sz w:val="22"/>
          <w:szCs w:val="22"/>
        </w:rPr>
        <w:t>Y) + (</w:t>
      </w:r>
      <w:r w:rsidR="007342FD" w:rsidRPr="009C5E44">
        <w:rPr>
          <w:sz w:val="22"/>
          <w:szCs w:val="22"/>
        </w:rPr>
        <w:t>55</w:t>
      </w:r>
      <w:r w:rsidR="0074619A" w:rsidRPr="009C5E44">
        <w:rPr>
          <w:sz w:val="22"/>
          <w:szCs w:val="22"/>
        </w:rPr>
        <w:t>0</w:t>
      </w:r>
      <w:r w:rsidRPr="009C5E44">
        <w:rPr>
          <w:sz w:val="22"/>
          <w:szCs w:val="22"/>
        </w:rPr>
        <w:t xml:space="preserve"> – 2</w:t>
      </w:r>
      <w:r w:rsidR="007342FD" w:rsidRPr="009C5E44">
        <w:rPr>
          <w:sz w:val="22"/>
          <w:szCs w:val="22"/>
        </w:rPr>
        <w:t>5</w:t>
      </w:r>
      <w:r w:rsidRPr="009C5E44">
        <w:rPr>
          <w:sz w:val="22"/>
          <w:szCs w:val="22"/>
        </w:rPr>
        <w:t xml:space="preserve"> • 2) = 0,</w:t>
      </w:r>
      <w:r w:rsidR="0074619A" w:rsidRPr="009C5E44">
        <w:rPr>
          <w:sz w:val="22"/>
          <w:szCs w:val="22"/>
        </w:rPr>
        <w:t>8</w:t>
      </w:r>
      <w:r w:rsidRPr="009C5E44">
        <w:rPr>
          <w:sz w:val="22"/>
          <w:szCs w:val="22"/>
        </w:rPr>
        <w:t xml:space="preserve"> •</w:t>
      </w:r>
      <w:r w:rsidRPr="009C5E44">
        <w:rPr>
          <w:bCs/>
          <w:sz w:val="22"/>
          <w:szCs w:val="22"/>
        </w:rPr>
        <w:t xml:space="preserve"> </w:t>
      </w:r>
      <w:r w:rsidRPr="009C5E44">
        <w:rPr>
          <w:sz w:val="22"/>
          <w:szCs w:val="22"/>
        </w:rPr>
        <w:t xml:space="preserve">Y + </w:t>
      </w:r>
      <w:r w:rsidR="007342FD" w:rsidRPr="009C5E44">
        <w:rPr>
          <w:sz w:val="22"/>
          <w:szCs w:val="22"/>
        </w:rPr>
        <w:t>60</w:t>
      </w:r>
      <w:r w:rsidR="0074619A" w:rsidRPr="009C5E44">
        <w:rPr>
          <w:sz w:val="22"/>
          <w:szCs w:val="22"/>
        </w:rPr>
        <w:t>0</w:t>
      </w:r>
    </w:p>
    <w:p w14:paraId="30A31420" w14:textId="77777777" w:rsidR="008B6689" w:rsidRPr="009C5E44" w:rsidRDefault="008B6689" w:rsidP="008B6689">
      <w:pPr>
        <w:pStyle w:val="GS"/>
        <w:rPr>
          <w:sz w:val="22"/>
          <w:szCs w:val="22"/>
        </w:rPr>
      </w:pPr>
      <w:r w:rsidRPr="009C5E44">
        <w:rPr>
          <w:sz w:val="22"/>
          <w:szCs w:val="22"/>
        </w:rPr>
        <w:t xml:space="preserve">Y = </w:t>
      </w:r>
      <w:r w:rsidR="007342FD" w:rsidRPr="009C5E44">
        <w:rPr>
          <w:sz w:val="22"/>
          <w:szCs w:val="22"/>
        </w:rPr>
        <w:t>30</w:t>
      </w:r>
      <w:r w:rsidR="0074619A" w:rsidRPr="009C5E44">
        <w:rPr>
          <w:sz w:val="22"/>
          <w:szCs w:val="22"/>
        </w:rPr>
        <w:t>00</w:t>
      </w:r>
    </w:p>
    <w:p w14:paraId="7B47EB1C" w14:textId="77777777" w:rsidR="008B6689" w:rsidRPr="009C5E44" w:rsidRDefault="008B6689" w:rsidP="008B6689">
      <w:pPr>
        <w:pStyle w:val="GS"/>
        <w:rPr>
          <w:sz w:val="22"/>
          <w:szCs w:val="22"/>
        </w:rPr>
      </w:pPr>
      <w:r w:rsidRPr="009C5E44">
        <w:rPr>
          <w:sz w:val="22"/>
          <w:szCs w:val="22"/>
        </w:rPr>
        <w:t>Die Inflationsrate (π), als Zielgröße der Geldpolitik, wird maßgeblich von drei Faktoren bestimmt: der Arbeitsmarktsituation, der Produktivitätsentwicklung (</w:t>
      </w:r>
      <w:proofErr w:type="spellStart"/>
      <w:r w:rsidRPr="009C5E44">
        <w:rPr>
          <w:sz w:val="22"/>
          <w:szCs w:val="22"/>
        </w:rPr>
        <w:t>w</w:t>
      </w:r>
      <w:r w:rsidRPr="009C5E44">
        <w:rPr>
          <w:sz w:val="22"/>
          <w:szCs w:val="22"/>
          <w:vertAlign w:val="subscript"/>
        </w:rPr>
        <w:t>μ</w:t>
      </w:r>
      <w:proofErr w:type="spellEnd"/>
      <w:r w:rsidRPr="009C5E44">
        <w:rPr>
          <w:sz w:val="22"/>
          <w:szCs w:val="22"/>
        </w:rPr>
        <w:t>) und den Inflationserwartungen (π</w:t>
      </w:r>
      <w:r w:rsidRPr="009C5E44">
        <w:rPr>
          <w:sz w:val="22"/>
          <w:szCs w:val="22"/>
          <w:vertAlign w:val="superscript"/>
        </w:rPr>
        <w:t>e</w:t>
      </w:r>
      <w:r w:rsidRPr="009C5E44">
        <w:rPr>
          <w:sz w:val="22"/>
          <w:szCs w:val="22"/>
        </w:rPr>
        <w:t>). Formal:</w:t>
      </w:r>
    </w:p>
    <w:p w14:paraId="1113890F" w14:textId="77777777" w:rsidR="008B6689" w:rsidRPr="009C5E44" w:rsidRDefault="008B6689" w:rsidP="008B6689">
      <w:pPr>
        <w:pStyle w:val="GS"/>
        <w:rPr>
          <w:sz w:val="22"/>
          <w:szCs w:val="22"/>
          <w:vertAlign w:val="subscript"/>
        </w:rPr>
      </w:pPr>
      <w:r w:rsidRPr="009C5E44">
        <w:rPr>
          <w:sz w:val="22"/>
          <w:szCs w:val="22"/>
        </w:rPr>
        <w:t>π = π</w:t>
      </w:r>
      <w:r w:rsidRPr="009C5E44">
        <w:rPr>
          <w:sz w:val="22"/>
          <w:szCs w:val="22"/>
          <w:vertAlign w:val="superscript"/>
        </w:rPr>
        <w:t>e</w:t>
      </w:r>
      <w:r w:rsidRPr="009C5E44">
        <w:rPr>
          <w:sz w:val="22"/>
          <w:szCs w:val="22"/>
        </w:rPr>
        <w:t xml:space="preserve"> + f (ALQ) – </w:t>
      </w:r>
      <w:proofErr w:type="spellStart"/>
      <w:r w:rsidRPr="009C5E44">
        <w:rPr>
          <w:sz w:val="22"/>
          <w:szCs w:val="22"/>
        </w:rPr>
        <w:t>W</w:t>
      </w:r>
      <w:r w:rsidRPr="009C5E44">
        <w:rPr>
          <w:sz w:val="22"/>
          <w:szCs w:val="22"/>
          <w:vertAlign w:val="subscript"/>
        </w:rPr>
        <w:t>μ</w:t>
      </w:r>
      <w:proofErr w:type="spellEnd"/>
    </w:p>
    <w:p w14:paraId="357DCFE7" w14:textId="77777777" w:rsidR="008B6689" w:rsidRPr="009C5E44" w:rsidRDefault="008B6689" w:rsidP="008B6689">
      <w:pPr>
        <w:pStyle w:val="GS"/>
        <w:rPr>
          <w:sz w:val="22"/>
          <w:szCs w:val="22"/>
        </w:rPr>
      </w:pPr>
      <w:r w:rsidRPr="009C5E44">
        <w:rPr>
          <w:sz w:val="22"/>
          <w:szCs w:val="22"/>
        </w:rPr>
        <w:t xml:space="preserve">Wir unterstellen, dass der Produktivitätsfortschritt kurzfristig Null beträgt und die Notenbank </w:t>
      </w:r>
      <w:r w:rsidRPr="009C5E44">
        <w:rPr>
          <w:bCs/>
          <w:sz w:val="22"/>
          <w:szCs w:val="22"/>
        </w:rPr>
        <w:t>glaubwürdig</w:t>
      </w:r>
      <w:r w:rsidRPr="009C5E44">
        <w:rPr>
          <w:sz w:val="22"/>
          <w:szCs w:val="22"/>
        </w:rPr>
        <w:t xml:space="preserve"> ist. Die Wirtschaftssubjekte erwarten dann eine Inflationsrate, die dem Inflationsziel entspricht (π</w:t>
      </w:r>
      <w:r w:rsidRPr="009C5E44">
        <w:rPr>
          <w:sz w:val="22"/>
          <w:szCs w:val="22"/>
          <w:vertAlign w:val="superscript"/>
        </w:rPr>
        <w:t xml:space="preserve">e </w:t>
      </w:r>
      <w:r w:rsidRPr="009C5E44">
        <w:rPr>
          <w:sz w:val="22"/>
          <w:szCs w:val="22"/>
        </w:rPr>
        <w:t>= π</w:t>
      </w:r>
      <w:r w:rsidRPr="009C5E44">
        <w:rPr>
          <w:sz w:val="22"/>
          <w:szCs w:val="22"/>
          <w:vertAlign w:val="superscript"/>
        </w:rPr>
        <w:t>*</w:t>
      </w:r>
      <w:r w:rsidRPr="009C5E44">
        <w:rPr>
          <w:sz w:val="22"/>
          <w:szCs w:val="22"/>
        </w:rPr>
        <w:t xml:space="preserve"> = 2 Prozent). </w:t>
      </w:r>
    </w:p>
    <w:p w14:paraId="369DA763" w14:textId="77777777" w:rsidR="008B6689" w:rsidRPr="009C5E44" w:rsidRDefault="008B6689" w:rsidP="008B6689">
      <w:pPr>
        <w:pStyle w:val="GS"/>
        <w:rPr>
          <w:sz w:val="22"/>
          <w:szCs w:val="22"/>
        </w:rPr>
      </w:pPr>
      <w:r w:rsidRPr="009C5E44">
        <w:rPr>
          <w:sz w:val="22"/>
          <w:szCs w:val="22"/>
        </w:rPr>
        <w:t>Ferner gehen wir davon aus, dass es einen engen Zusammenhang zwischen der Arbeitslosigkeit und der Output-Lücke (Differenz zwischen dem tatsächlichen Output (reales BIP) und dem Vollbeschäftigungsoutput (Produktionspotential)) gibt. Wir können dann die Arbeitslosenquote (auch in der Phillips-Kurve) durch die Output-Lücke ersetzen:</w:t>
      </w:r>
    </w:p>
    <w:p w14:paraId="592B4BF8" w14:textId="77777777" w:rsidR="008B6689" w:rsidRPr="009C5E44" w:rsidRDefault="008B6689" w:rsidP="008B6689">
      <w:pPr>
        <w:pStyle w:val="GS"/>
        <w:rPr>
          <w:sz w:val="22"/>
          <w:szCs w:val="22"/>
        </w:rPr>
      </w:pPr>
      <w:r w:rsidRPr="009C5E44">
        <w:rPr>
          <w:sz w:val="22"/>
          <w:szCs w:val="22"/>
        </w:rPr>
        <w:t>π = 2 + 0,</w:t>
      </w:r>
      <w:r w:rsidR="00DB78B7" w:rsidRPr="009C5E44">
        <w:rPr>
          <w:sz w:val="22"/>
          <w:szCs w:val="22"/>
        </w:rPr>
        <w:t>00</w:t>
      </w:r>
      <w:r w:rsidRPr="009C5E44">
        <w:rPr>
          <w:sz w:val="22"/>
          <w:szCs w:val="22"/>
        </w:rPr>
        <w:t>4 • (Y – Y*), mit Y* = Vollbeschäftigungseinkommen</w:t>
      </w:r>
    </w:p>
    <w:p w14:paraId="6D0E3C1D" w14:textId="1CB52330" w:rsidR="008B6689" w:rsidRPr="009C5E44" w:rsidRDefault="008B6689" w:rsidP="008B6689">
      <w:pPr>
        <w:pStyle w:val="GS"/>
        <w:rPr>
          <w:sz w:val="22"/>
          <w:szCs w:val="22"/>
        </w:rPr>
      </w:pPr>
      <w:r w:rsidRPr="009C5E44">
        <w:rPr>
          <w:sz w:val="22"/>
          <w:szCs w:val="22"/>
        </w:rPr>
        <w:t>Beachten Sie, dass wir hier aus Gründen der Anschaulichkeit eine andere Form der Phillips-Kurve wählen</w:t>
      </w:r>
      <w:r w:rsidR="003D51EB" w:rsidRPr="009C5E44">
        <w:rPr>
          <w:sz w:val="22"/>
          <w:szCs w:val="22"/>
        </w:rPr>
        <w:t xml:space="preserve">, als es üblich der Fall ist, </w:t>
      </w:r>
      <w:r w:rsidR="009E21E2" w:rsidRPr="009C5E44">
        <w:rPr>
          <w:sz w:val="22"/>
          <w:szCs w:val="22"/>
        </w:rPr>
        <w:t>wo die Phillips-Kurve als der Zusammenhang zwischen der Inflation</w:t>
      </w:r>
      <w:r w:rsidR="00C86B1B" w:rsidRPr="009C5E44">
        <w:rPr>
          <w:sz w:val="22"/>
          <w:szCs w:val="22"/>
        </w:rPr>
        <w:t xml:space="preserve"> (bzw. Lohnveränderung)</w:t>
      </w:r>
      <w:r w:rsidR="009E21E2" w:rsidRPr="009C5E44">
        <w:rPr>
          <w:sz w:val="22"/>
          <w:szCs w:val="22"/>
        </w:rPr>
        <w:t xml:space="preserve"> und der Arbeitslosenquote dargestellt wird</w:t>
      </w:r>
      <w:r w:rsidRPr="009C5E44">
        <w:rPr>
          <w:sz w:val="22"/>
          <w:szCs w:val="22"/>
        </w:rPr>
        <w:t xml:space="preserve">. </w:t>
      </w:r>
      <w:r w:rsidR="003131ED" w:rsidRPr="009C5E44">
        <w:rPr>
          <w:sz w:val="22"/>
          <w:szCs w:val="22"/>
        </w:rPr>
        <w:t xml:space="preserve">Die hier verwendete Philipps-Kurve </w:t>
      </w:r>
      <w:r w:rsidRPr="009C5E44">
        <w:rPr>
          <w:sz w:val="22"/>
          <w:szCs w:val="22"/>
        </w:rPr>
        <w:t xml:space="preserve">zeigt grafisch einen mit dem </w:t>
      </w:r>
      <w:r w:rsidRPr="009C5E44">
        <w:rPr>
          <w:bCs/>
          <w:sz w:val="22"/>
          <w:szCs w:val="22"/>
        </w:rPr>
        <w:t>Output</w:t>
      </w:r>
      <w:r w:rsidRPr="009C5E44">
        <w:rPr>
          <w:sz w:val="22"/>
          <w:szCs w:val="22"/>
        </w:rPr>
        <w:t xml:space="preserve"> (realen BIP) steigendem Verlauf und entspricht damit der gesamtwirtschaftlichen Angebotsfunktion (Abb. </w:t>
      </w:r>
      <w:r w:rsidR="007B68A9" w:rsidRPr="009C5E44">
        <w:rPr>
          <w:sz w:val="22"/>
          <w:szCs w:val="22"/>
        </w:rPr>
        <w:t>E.</w:t>
      </w:r>
      <w:r w:rsidRPr="009C5E44">
        <w:rPr>
          <w:sz w:val="22"/>
          <w:szCs w:val="22"/>
        </w:rPr>
        <w:t>13.</w:t>
      </w:r>
      <w:r w:rsidR="007B68A9" w:rsidRPr="009C5E44">
        <w:rPr>
          <w:sz w:val="22"/>
          <w:szCs w:val="22"/>
        </w:rPr>
        <w:t>1</w:t>
      </w:r>
      <w:r w:rsidRPr="009C5E44">
        <w:rPr>
          <w:sz w:val="22"/>
          <w:szCs w:val="22"/>
        </w:rPr>
        <w:t>). Die Differenz zwischen Y und Y* entspricht der Output-Lücke, die hier mit einem Parameter von 0,</w:t>
      </w:r>
      <w:r w:rsidR="007B68A9" w:rsidRPr="009C5E44">
        <w:rPr>
          <w:sz w:val="22"/>
          <w:szCs w:val="22"/>
        </w:rPr>
        <w:t>00</w:t>
      </w:r>
      <w:r w:rsidRPr="009C5E44">
        <w:rPr>
          <w:sz w:val="22"/>
          <w:szCs w:val="22"/>
        </w:rPr>
        <w:t xml:space="preserve">4 gewichtet wird. </w:t>
      </w:r>
    </w:p>
    <w:p w14:paraId="56250844" w14:textId="77777777" w:rsidR="008B6689" w:rsidRPr="009C5E44" w:rsidRDefault="008B6689" w:rsidP="008B6689">
      <w:pPr>
        <w:pStyle w:val="GS"/>
        <w:rPr>
          <w:sz w:val="22"/>
          <w:szCs w:val="22"/>
        </w:rPr>
      </w:pPr>
      <w:r w:rsidRPr="009C5E44">
        <w:rPr>
          <w:sz w:val="22"/>
          <w:szCs w:val="22"/>
        </w:rPr>
        <w:t xml:space="preserve">Bei einem Realzins von 2 Prozent und einem Vollbeschäftigungsoutput von </w:t>
      </w:r>
      <w:r w:rsidR="007342FD" w:rsidRPr="009C5E44">
        <w:rPr>
          <w:sz w:val="22"/>
          <w:szCs w:val="22"/>
        </w:rPr>
        <w:t>3</w:t>
      </w:r>
      <w:r w:rsidR="00EB1F00" w:rsidRPr="009C5E44">
        <w:rPr>
          <w:sz w:val="22"/>
          <w:szCs w:val="22"/>
        </w:rPr>
        <w:t>0</w:t>
      </w:r>
      <w:r w:rsidR="007342FD" w:rsidRPr="009C5E44">
        <w:rPr>
          <w:sz w:val="22"/>
          <w:szCs w:val="22"/>
        </w:rPr>
        <w:t>00</w:t>
      </w:r>
      <w:r w:rsidRPr="009C5E44">
        <w:rPr>
          <w:sz w:val="22"/>
          <w:szCs w:val="22"/>
        </w:rPr>
        <w:t xml:space="preserve"> beträgt die Output-Lücke Null und die Inflationsrate von 2 Prozent entspricht der Zielinflationsrate:</w:t>
      </w:r>
    </w:p>
    <w:p w14:paraId="65BAE98C" w14:textId="77777777" w:rsidR="008B6689" w:rsidRPr="009C5E44" w:rsidRDefault="008B6689" w:rsidP="008B6689">
      <w:pPr>
        <w:pStyle w:val="GS"/>
        <w:rPr>
          <w:sz w:val="22"/>
          <w:szCs w:val="22"/>
        </w:rPr>
      </w:pPr>
      <w:r w:rsidRPr="009C5E44">
        <w:rPr>
          <w:sz w:val="22"/>
          <w:szCs w:val="22"/>
        </w:rPr>
        <w:t>2 = 2 + 0,</w:t>
      </w:r>
      <w:r w:rsidR="00DB78B7" w:rsidRPr="009C5E44">
        <w:rPr>
          <w:sz w:val="22"/>
          <w:szCs w:val="22"/>
        </w:rPr>
        <w:t>00</w:t>
      </w:r>
      <w:r w:rsidRPr="009C5E44">
        <w:rPr>
          <w:sz w:val="22"/>
          <w:szCs w:val="22"/>
        </w:rPr>
        <w:t>4 • (</w:t>
      </w:r>
      <w:r w:rsidR="00EB1F00" w:rsidRPr="009C5E44">
        <w:rPr>
          <w:sz w:val="22"/>
          <w:szCs w:val="22"/>
        </w:rPr>
        <w:t>3000</w:t>
      </w:r>
      <w:r w:rsidRPr="009C5E44">
        <w:rPr>
          <w:sz w:val="22"/>
          <w:szCs w:val="22"/>
        </w:rPr>
        <w:t xml:space="preserve"> – </w:t>
      </w:r>
      <w:r w:rsidR="00EB1F00" w:rsidRPr="009C5E44">
        <w:rPr>
          <w:sz w:val="22"/>
          <w:szCs w:val="22"/>
        </w:rPr>
        <w:t>3000</w:t>
      </w:r>
      <w:r w:rsidRPr="009C5E44">
        <w:rPr>
          <w:sz w:val="22"/>
          <w:szCs w:val="22"/>
        </w:rPr>
        <w:t>)</w:t>
      </w:r>
    </w:p>
    <w:p w14:paraId="4E9E9FB0" w14:textId="77777777" w:rsidR="008B6689" w:rsidRPr="009C5E44" w:rsidRDefault="008B6689" w:rsidP="008B6689">
      <w:pPr>
        <w:pStyle w:val="GS"/>
        <w:rPr>
          <w:sz w:val="22"/>
          <w:szCs w:val="22"/>
        </w:rPr>
      </w:pPr>
      <w:r w:rsidRPr="009C5E44">
        <w:rPr>
          <w:sz w:val="22"/>
          <w:szCs w:val="22"/>
        </w:rPr>
        <w:t>Eine Inflationsrate von Null würde bei einer Output-Lücke von 5</w:t>
      </w:r>
      <w:r w:rsidR="00DB78B7" w:rsidRPr="009C5E44">
        <w:rPr>
          <w:sz w:val="22"/>
          <w:szCs w:val="22"/>
        </w:rPr>
        <w:t>00</w:t>
      </w:r>
      <w:r w:rsidRPr="009C5E44">
        <w:rPr>
          <w:sz w:val="22"/>
          <w:szCs w:val="22"/>
        </w:rPr>
        <w:t xml:space="preserve">, also einer gesamtwirtschaftlichen Nachfrage von lediglich </w:t>
      </w:r>
      <w:r w:rsidR="00DB78B7" w:rsidRPr="009C5E44">
        <w:rPr>
          <w:sz w:val="22"/>
          <w:szCs w:val="22"/>
        </w:rPr>
        <w:t>2500</w:t>
      </w:r>
      <w:r w:rsidRPr="009C5E44">
        <w:rPr>
          <w:sz w:val="22"/>
          <w:szCs w:val="22"/>
        </w:rPr>
        <w:t xml:space="preserve"> erreicht. Dafür mü</w:t>
      </w:r>
      <w:r w:rsidR="007B68A9" w:rsidRPr="009C5E44">
        <w:rPr>
          <w:sz w:val="22"/>
          <w:szCs w:val="22"/>
        </w:rPr>
        <w:t>ss</w:t>
      </w:r>
      <w:r w:rsidRPr="009C5E44">
        <w:rPr>
          <w:sz w:val="22"/>
          <w:szCs w:val="22"/>
        </w:rPr>
        <w:t xml:space="preserve">te der Realzins von </w:t>
      </w:r>
      <w:r w:rsidR="007B68A9" w:rsidRPr="009C5E44">
        <w:rPr>
          <w:sz w:val="22"/>
          <w:szCs w:val="22"/>
        </w:rPr>
        <w:t>4</w:t>
      </w:r>
      <w:r w:rsidRPr="009C5E44">
        <w:rPr>
          <w:sz w:val="22"/>
          <w:szCs w:val="22"/>
        </w:rPr>
        <w:t> Prozent betragen.</w:t>
      </w:r>
    </w:p>
    <w:p w14:paraId="3660F822" w14:textId="77777777" w:rsidR="008B6689" w:rsidRPr="009C5E44" w:rsidRDefault="008B6689" w:rsidP="008B6689">
      <w:pPr>
        <w:pStyle w:val="GS"/>
        <w:rPr>
          <w:sz w:val="22"/>
          <w:szCs w:val="22"/>
        </w:rPr>
      </w:pPr>
      <w:r w:rsidRPr="009C5E44">
        <w:rPr>
          <w:sz w:val="22"/>
          <w:szCs w:val="22"/>
        </w:rPr>
        <w:t>π = 0 = 2 + 0,</w:t>
      </w:r>
      <w:r w:rsidR="00DB78B7" w:rsidRPr="009C5E44">
        <w:rPr>
          <w:sz w:val="22"/>
          <w:szCs w:val="22"/>
        </w:rPr>
        <w:t>00</w:t>
      </w:r>
      <w:r w:rsidRPr="009C5E44">
        <w:rPr>
          <w:sz w:val="22"/>
          <w:szCs w:val="22"/>
        </w:rPr>
        <w:t>4 • (</w:t>
      </w:r>
      <w:r w:rsidR="007B68A9" w:rsidRPr="009C5E44">
        <w:rPr>
          <w:sz w:val="22"/>
          <w:szCs w:val="22"/>
        </w:rPr>
        <w:t>2500</w:t>
      </w:r>
      <w:r w:rsidRPr="009C5E44">
        <w:rPr>
          <w:sz w:val="22"/>
          <w:szCs w:val="22"/>
        </w:rPr>
        <w:t xml:space="preserve"> – </w:t>
      </w:r>
      <w:r w:rsidR="007B68A9" w:rsidRPr="009C5E44">
        <w:rPr>
          <w:sz w:val="22"/>
          <w:szCs w:val="22"/>
        </w:rPr>
        <w:t>3000</w:t>
      </w:r>
      <w:r w:rsidRPr="009C5E44">
        <w:rPr>
          <w:sz w:val="22"/>
          <w:szCs w:val="22"/>
        </w:rPr>
        <w:t xml:space="preserve">) </w:t>
      </w:r>
      <w:r w:rsidR="007B68A9" w:rsidRPr="009C5E44">
        <w:rPr>
          <w:sz w:val="22"/>
          <w:szCs w:val="22"/>
        </w:rPr>
        <w:t xml:space="preserve">  </w:t>
      </w:r>
      <w:r w:rsidRPr="009C5E44">
        <w:rPr>
          <w:sz w:val="22"/>
          <w:szCs w:val="22"/>
        </w:rPr>
        <w:t>und</w:t>
      </w:r>
      <w:r w:rsidR="007B68A9" w:rsidRPr="009C5E44">
        <w:rPr>
          <w:sz w:val="22"/>
          <w:szCs w:val="22"/>
        </w:rPr>
        <w:t xml:space="preserve">  </w:t>
      </w:r>
      <w:r w:rsidRPr="009C5E44">
        <w:rPr>
          <w:sz w:val="22"/>
          <w:szCs w:val="22"/>
        </w:rPr>
        <w:t xml:space="preserve"> Y = </w:t>
      </w:r>
      <w:r w:rsidR="007B68A9" w:rsidRPr="009C5E44">
        <w:rPr>
          <w:sz w:val="22"/>
          <w:szCs w:val="22"/>
        </w:rPr>
        <w:t>2500</w:t>
      </w:r>
      <w:r w:rsidRPr="009C5E44">
        <w:rPr>
          <w:sz w:val="22"/>
          <w:szCs w:val="22"/>
        </w:rPr>
        <w:t xml:space="preserve"> = (</w:t>
      </w:r>
      <w:r w:rsidR="007B68A9" w:rsidRPr="009C5E44">
        <w:rPr>
          <w:sz w:val="22"/>
          <w:szCs w:val="22"/>
        </w:rPr>
        <w:t>100</w:t>
      </w:r>
      <w:r w:rsidRPr="009C5E44">
        <w:rPr>
          <w:sz w:val="22"/>
          <w:szCs w:val="22"/>
        </w:rPr>
        <w:t xml:space="preserve"> + 0,</w:t>
      </w:r>
      <w:r w:rsidR="007B68A9" w:rsidRPr="009C5E44">
        <w:rPr>
          <w:sz w:val="22"/>
          <w:szCs w:val="22"/>
        </w:rPr>
        <w:t>8</w:t>
      </w:r>
      <w:r w:rsidRPr="009C5E44">
        <w:rPr>
          <w:sz w:val="22"/>
          <w:szCs w:val="22"/>
        </w:rPr>
        <w:t xml:space="preserve"> •</w:t>
      </w:r>
      <w:r w:rsidRPr="009C5E44">
        <w:rPr>
          <w:bCs/>
          <w:sz w:val="22"/>
          <w:szCs w:val="22"/>
        </w:rPr>
        <w:t xml:space="preserve"> </w:t>
      </w:r>
      <w:r w:rsidR="007B68A9" w:rsidRPr="009C5E44">
        <w:rPr>
          <w:bCs/>
          <w:sz w:val="22"/>
          <w:szCs w:val="22"/>
        </w:rPr>
        <w:t>2500</w:t>
      </w:r>
      <w:r w:rsidRPr="009C5E44">
        <w:rPr>
          <w:sz w:val="22"/>
          <w:szCs w:val="22"/>
        </w:rPr>
        <w:t>) + (</w:t>
      </w:r>
      <w:r w:rsidR="007B68A9" w:rsidRPr="009C5E44">
        <w:rPr>
          <w:sz w:val="22"/>
          <w:szCs w:val="22"/>
        </w:rPr>
        <w:t>550</w:t>
      </w:r>
      <w:r w:rsidRPr="009C5E44">
        <w:rPr>
          <w:sz w:val="22"/>
          <w:szCs w:val="22"/>
        </w:rPr>
        <w:t xml:space="preserve"> – </w:t>
      </w:r>
      <w:r w:rsidR="007B68A9" w:rsidRPr="009C5E44">
        <w:rPr>
          <w:sz w:val="22"/>
          <w:szCs w:val="22"/>
        </w:rPr>
        <w:t>25</w:t>
      </w:r>
      <w:r w:rsidRPr="009C5E44">
        <w:rPr>
          <w:sz w:val="22"/>
          <w:szCs w:val="22"/>
        </w:rPr>
        <w:t xml:space="preserve"> • </w:t>
      </w:r>
      <w:r w:rsidR="007B68A9" w:rsidRPr="009C5E44">
        <w:rPr>
          <w:sz w:val="22"/>
          <w:szCs w:val="22"/>
        </w:rPr>
        <w:t>4</w:t>
      </w:r>
      <w:r w:rsidRPr="009C5E44">
        <w:rPr>
          <w:sz w:val="22"/>
          <w:szCs w:val="22"/>
        </w:rPr>
        <w:t>)</w:t>
      </w:r>
    </w:p>
    <w:p w14:paraId="411BF7FC" w14:textId="77777777" w:rsidR="008B6689" w:rsidRPr="009C5E44" w:rsidRDefault="008B6689" w:rsidP="008B6689">
      <w:pPr>
        <w:pStyle w:val="GS"/>
        <w:rPr>
          <w:sz w:val="22"/>
          <w:szCs w:val="22"/>
        </w:rPr>
      </w:pPr>
    </w:p>
    <w:p w14:paraId="69054AE6" w14:textId="77777777" w:rsidR="008B6689" w:rsidRPr="009C5E44" w:rsidRDefault="008B6689" w:rsidP="008B6689">
      <w:pPr>
        <w:pStyle w:val="GS"/>
        <w:rPr>
          <w:sz w:val="22"/>
          <w:szCs w:val="22"/>
        </w:rPr>
      </w:pPr>
      <w:r w:rsidRPr="009C5E44">
        <w:rPr>
          <w:sz w:val="22"/>
          <w:szCs w:val="22"/>
        </w:rPr>
        <w:t xml:space="preserve">Wir wollen nun diesen Modellrahmen nutzen und die Reaktion der Geldpolitik auf makroökonomische </w:t>
      </w:r>
      <w:r w:rsidRPr="009C5E44">
        <w:rPr>
          <w:sz w:val="22"/>
          <w:szCs w:val="22"/>
        </w:rPr>
        <w:lastRenderedPageBreak/>
        <w:t xml:space="preserve">Schocks diskutieren. </w:t>
      </w:r>
    </w:p>
    <w:p w14:paraId="0B1736EB" w14:textId="77777777" w:rsidR="008B6689" w:rsidRPr="009C5E44" w:rsidRDefault="004B79BB" w:rsidP="008B6689">
      <w:pPr>
        <w:pStyle w:val="BU"/>
        <w:rPr>
          <w:sz w:val="22"/>
          <w:szCs w:val="22"/>
        </w:rPr>
      </w:pPr>
      <w:r w:rsidRPr="009C5E44">
        <w:rPr>
          <w:noProof/>
          <w:sz w:val="22"/>
          <w:szCs w:val="22"/>
        </w:rPr>
        <w:drawing>
          <wp:inline distT="0" distB="0" distL="0" distR="0" wp14:anchorId="13429DF3" wp14:editId="39570B53">
            <wp:extent cx="4572396" cy="34292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72396" cy="3429297"/>
                    </a:xfrm>
                    <a:prstGeom prst="rect">
                      <a:avLst/>
                    </a:prstGeom>
                  </pic:spPr>
                </pic:pic>
              </a:graphicData>
            </a:graphic>
          </wp:inline>
        </w:drawing>
      </w:r>
    </w:p>
    <w:p w14:paraId="14A2954A" w14:textId="77777777" w:rsidR="008B6689" w:rsidRPr="009C5E44" w:rsidRDefault="008B6689" w:rsidP="008B6689">
      <w:pPr>
        <w:pStyle w:val="BU"/>
        <w:rPr>
          <w:sz w:val="22"/>
          <w:szCs w:val="22"/>
        </w:rPr>
      </w:pPr>
      <w:bookmarkStart w:id="0" w:name="_Toc367041553"/>
      <w:bookmarkStart w:id="1" w:name="_Toc367042024"/>
      <w:bookmarkStart w:id="2" w:name="_Toc367042445"/>
      <w:r w:rsidRPr="009C5E44">
        <w:rPr>
          <w:sz w:val="22"/>
          <w:szCs w:val="22"/>
        </w:rPr>
        <w:t>Abb. </w:t>
      </w:r>
      <w:r w:rsidR="007B68A9" w:rsidRPr="009C5E44">
        <w:rPr>
          <w:sz w:val="22"/>
          <w:szCs w:val="22"/>
        </w:rPr>
        <w:t>E.</w:t>
      </w:r>
      <w:r w:rsidRPr="009C5E44">
        <w:rPr>
          <w:sz w:val="22"/>
          <w:szCs w:val="22"/>
        </w:rPr>
        <w:t>13.</w:t>
      </w:r>
      <w:r w:rsidR="007B68A9" w:rsidRPr="009C5E44">
        <w:rPr>
          <w:sz w:val="22"/>
          <w:szCs w:val="22"/>
        </w:rPr>
        <w:t>1</w:t>
      </w:r>
      <w:r w:rsidRPr="009C5E44">
        <w:rPr>
          <w:sz w:val="22"/>
          <w:szCs w:val="22"/>
        </w:rPr>
        <w:t>: Gesamtwirtschaftliche Nachfrage und Realzins</w:t>
      </w:r>
      <w:bookmarkEnd w:id="0"/>
      <w:bookmarkEnd w:id="1"/>
      <w:bookmarkEnd w:id="2"/>
    </w:p>
    <w:p w14:paraId="3C45E909" w14:textId="77777777" w:rsidR="008B6689" w:rsidRPr="009C5E44" w:rsidRDefault="008B6689" w:rsidP="008B6689">
      <w:pPr>
        <w:pStyle w:val="U4"/>
        <w:rPr>
          <w:sz w:val="22"/>
          <w:szCs w:val="22"/>
        </w:rPr>
      </w:pPr>
      <w:r w:rsidRPr="009C5E44">
        <w:rPr>
          <w:sz w:val="22"/>
          <w:szCs w:val="22"/>
        </w:rPr>
        <w:t>Negativer Nachfrageschock</w:t>
      </w:r>
    </w:p>
    <w:p w14:paraId="6109DE1A" w14:textId="77777777" w:rsidR="008B6689" w:rsidRPr="009C5E44" w:rsidRDefault="008B6689" w:rsidP="008B6689">
      <w:pPr>
        <w:pStyle w:val="GS"/>
        <w:rPr>
          <w:sz w:val="22"/>
          <w:szCs w:val="22"/>
        </w:rPr>
      </w:pPr>
      <w:r w:rsidRPr="009C5E44">
        <w:rPr>
          <w:sz w:val="22"/>
          <w:szCs w:val="22"/>
        </w:rPr>
        <w:t xml:space="preserve">Nehmen wir an, es kommt auf den </w:t>
      </w:r>
      <w:r w:rsidRPr="009C5E44">
        <w:rPr>
          <w:bCs/>
          <w:sz w:val="22"/>
          <w:szCs w:val="22"/>
        </w:rPr>
        <w:t>Aktienmärkten</w:t>
      </w:r>
      <w:r w:rsidRPr="009C5E44">
        <w:rPr>
          <w:sz w:val="22"/>
          <w:szCs w:val="22"/>
        </w:rPr>
        <w:t xml:space="preserve"> zu einem </w:t>
      </w:r>
      <w:r w:rsidRPr="009C5E44">
        <w:rPr>
          <w:bCs/>
          <w:sz w:val="22"/>
          <w:szCs w:val="22"/>
        </w:rPr>
        <w:t>Kurseinbruch</w:t>
      </w:r>
      <w:r w:rsidRPr="009C5E44">
        <w:rPr>
          <w:sz w:val="22"/>
          <w:szCs w:val="22"/>
        </w:rPr>
        <w:t xml:space="preserve">, der in der Folge einen negativen Nachfrageschock auslöst und sich in einem Rückgang des autonomen Konsums von </w:t>
      </w:r>
      <w:r w:rsidR="001F024D" w:rsidRPr="009C5E44">
        <w:rPr>
          <w:sz w:val="22"/>
          <w:szCs w:val="22"/>
        </w:rPr>
        <w:t>100</w:t>
      </w:r>
      <w:r w:rsidRPr="009C5E44">
        <w:rPr>
          <w:sz w:val="22"/>
          <w:szCs w:val="22"/>
        </w:rPr>
        <w:t xml:space="preserve"> auf </w:t>
      </w:r>
      <w:r w:rsidR="001F024D" w:rsidRPr="009C5E44">
        <w:rPr>
          <w:sz w:val="22"/>
          <w:szCs w:val="22"/>
        </w:rPr>
        <w:t>50</w:t>
      </w:r>
      <w:r w:rsidRPr="009C5E44">
        <w:rPr>
          <w:sz w:val="22"/>
          <w:szCs w:val="22"/>
        </w:rPr>
        <w:t xml:space="preserve"> zeigt. Der Realzins bleibt zunächst unverändert. Die Nachfrage verringert sich auf: </w:t>
      </w:r>
    </w:p>
    <w:p w14:paraId="529A717F" w14:textId="0A8059B1" w:rsidR="008B6689" w:rsidRPr="009C5E44" w:rsidRDefault="008B6689" w:rsidP="008B6689">
      <w:pPr>
        <w:pStyle w:val="GS"/>
        <w:rPr>
          <w:sz w:val="22"/>
          <w:szCs w:val="22"/>
        </w:rPr>
      </w:pPr>
      <w:r w:rsidRPr="009C5E44">
        <w:rPr>
          <w:sz w:val="22"/>
          <w:szCs w:val="22"/>
        </w:rPr>
        <w:t>Y = (</w:t>
      </w:r>
      <w:r w:rsidR="001F024D" w:rsidRPr="009C5E44">
        <w:rPr>
          <w:sz w:val="22"/>
          <w:szCs w:val="22"/>
        </w:rPr>
        <w:t>50</w:t>
      </w:r>
      <w:r w:rsidRPr="009C5E44">
        <w:rPr>
          <w:sz w:val="22"/>
          <w:szCs w:val="22"/>
        </w:rPr>
        <w:t xml:space="preserve"> + 0,</w:t>
      </w:r>
      <w:r w:rsidR="001F024D" w:rsidRPr="009C5E44">
        <w:rPr>
          <w:sz w:val="22"/>
          <w:szCs w:val="22"/>
        </w:rPr>
        <w:t>8</w:t>
      </w:r>
      <w:r w:rsidRPr="009C5E44">
        <w:rPr>
          <w:sz w:val="22"/>
          <w:szCs w:val="22"/>
        </w:rPr>
        <w:t xml:space="preserve"> • Y) + (</w:t>
      </w:r>
      <w:r w:rsidR="001F024D" w:rsidRPr="009C5E44">
        <w:rPr>
          <w:sz w:val="22"/>
          <w:szCs w:val="22"/>
        </w:rPr>
        <w:t>550</w:t>
      </w:r>
      <w:r w:rsidRPr="009C5E44">
        <w:rPr>
          <w:sz w:val="22"/>
          <w:szCs w:val="22"/>
        </w:rPr>
        <w:t xml:space="preserve"> – 2</w:t>
      </w:r>
      <w:r w:rsidR="001F024D" w:rsidRPr="009C5E44">
        <w:rPr>
          <w:sz w:val="22"/>
          <w:szCs w:val="22"/>
        </w:rPr>
        <w:t>5</w:t>
      </w:r>
      <w:r w:rsidRPr="009C5E44">
        <w:rPr>
          <w:sz w:val="22"/>
          <w:szCs w:val="22"/>
        </w:rPr>
        <w:t xml:space="preserve"> • 2)</w:t>
      </w:r>
    </w:p>
    <w:p w14:paraId="0A00FE1D" w14:textId="77777777" w:rsidR="008B6689" w:rsidRPr="009C5E44" w:rsidRDefault="008B6689" w:rsidP="008B6689">
      <w:pPr>
        <w:pStyle w:val="GS"/>
        <w:rPr>
          <w:sz w:val="22"/>
          <w:szCs w:val="22"/>
        </w:rPr>
      </w:pPr>
      <w:r w:rsidRPr="009C5E44">
        <w:rPr>
          <w:sz w:val="22"/>
          <w:szCs w:val="22"/>
        </w:rPr>
        <w:t xml:space="preserve">Y = </w:t>
      </w:r>
      <w:r w:rsidR="001F024D" w:rsidRPr="009C5E44">
        <w:rPr>
          <w:sz w:val="22"/>
          <w:szCs w:val="22"/>
        </w:rPr>
        <w:t>2750</w:t>
      </w:r>
    </w:p>
    <w:p w14:paraId="6321645E" w14:textId="77777777" w:rsidR="008B6689" w:rsidRPr="009C5E44" w:rsidRDefault="008B6689" w:rsidP="008B6689">
      <w:pPr>
        <w:pStyle w:val="GS"/>
        <w:rPr>
          <w:sz w:val="22"/>
          <w:szCs w:val="22"/>
        </w:rPr>
      </w:pPr>
      <w:r w:rsidRPr="009C5E44">
        <w:rPr>
          <w:sz w:val="22"/>
          <w:szCs w:val="22"/>
        </w:rPr>
        <w:t xml:space="preserve">Das Gleichgewichtseinkommen reduziert sich von </w:t>
      </w:r>
      <w:r w:rsidR="001F024D" w:rsidRPr="009C5E44">
        <w:rPr>
          <w:sz w:val="22"/>
          <w:szCs w:val="22"/>
        </w:rPr>
        <w:t>3000</w:t>
      </w:r>
      <w:r w:rsidRPr="009C5E44">
        <w:rPr>
          <w:sz w:val="22"/>
          <w:szCs w:val="22"/>
        </w:rPr>
        <w:t xml:space="preserve"> auf </w:t>
      </w:r>
      <w:r w:rsidR="001F024D" w:rsidRPr="009C5E44">
        <w:rPr>
          <w:sz w:val="22"/>
          <w:szCs w:val="22"/>
        </w:rPr>
        <w:t>2750</w:t>
      </w:r>
      <w:r w:rsidRPr="009C5E44">
        <w:rPr>
          <w:sz w:val="22"/>
          <w:szCs w:val="22"/>
        </w:rPr>
        <w:t xml:space="preserve">. Eingesetzt in die Philipps-Kurve erhalten wir eine Inflationsrate, die unterhalb der </w:t>
      </w:r>
      <w:proofErr w:type="spellStart"/>
      <w:r w:rsidRPr="009C5E44">
        <w:rPr>
          <w:sz w:val="22"/>
          <w:szCs w:val="22"/>
        </w:rPr>
        <w:t>Zielrate</w:t>
      </w:r>
      <w:proofErr w:type="spellEnd"/>
      <w:r w:rsidRPr="009C5E44">
        <w:rPr>
          <w:sz w:val="22"/>
          <w:szCs w:val="22"/>
        </w:rPr>
        <w:t xml:space="preserve"> von 2 Prozent liegt:</w:t>
      </w:r>
    </w:p>
    <w:p w14:paraId="13144F14" w14:textId="77777777" w:rsidR="008B6689" w:rsidRPr="009C5E44" w:rsidRDefault="008B6689" w:rsidP="008B6689">
      <w:pPr>
        <w:pStyle w:val="GS"/>
        <w:rPr>
          <w:sz w:val="22"/>
          <w:szCs w:val="22"/>
        </w:rPr>
      </w:pPr>
      <w:r w:rsidRPr="009C5E44">
        <w:rPr>
          <w:sz w:val="22"/>
          <w:szCs w:val="22"/>
        </w:rPr>
        <w:t>π = 2 + 0,</w:t>
      </w:r>
      <w:r w:rsidR="00FF7A9A" w:rsidRPr="009C5E44">
        <w:rPr>
          <w:sz w:val="22"/>
          <w:szCs w:val="22"/>
        </w:rPr>
        <w:t>00</w:t>
      </w:r>
      <w:r w:rsidRPr="009C5E44">
        <w:rPr>
          <w:sz w:val="22"/>
          <w:szCs w:val="22"/>
        </w:rPr>
        <w:t>4 • (</w:t>
      </w:r>
      <w:r w:rsidR="00FF7A9A" w:rsidRPr="009C5E44">
        <w:rPr>
          <w:sz w:val="22"/>
          <w:szCs w:val="22"/>
        </w:rPr>
        <w:t>2750</w:t>
      </w:r>
      <w:r w:rsidRPr="009C5E44">
        <w:rPr>
          <w:sz w:val="22"/>
          <w:szCs w:val="22"/>
        </w:rPr>
        <w:t xml:space="preserve"> – </w:t>
      </w:r>
      <w:r w:rsidR="00FF7A9A" w:rsidRPr="009C5E44">
        <w:rPr>
          <w:sz w:val="22"/>
          <w:szCs w:val="22"/>
        </w:rPr>
        <w:t>3000</w:t>
      </w:r>
      <w:r w:rsidRPr="009C5E44">
        <w:rPr>
          <w:sz w:val="22"/>
          <w:szCs w:val="22"/>
        </w:rPr>
        <w:t xml:space="preserve">) = 1 </w:t>
      </w:r>
    </w:p>
    <w:p w14:paraId="0D2A7F72" w14:textId="77777777" w:rsidR="008B6689" w:rsidRPr="009C5E44" w:rsidRDefault="008B6689" w:rsidP="008B6689">
      <w:pPr>
        <w:pStyle w:val="GS"/>
        <w:rPr>
          <w:sz w:val="22"/>
          <w:szCs w:val="22"/>
        </w:rPr>
      </w:pPr>
      <w:r w:rsidRPr="009C5E44">
        <w:rPr>
          <w:sz w:val="22"/>
          <w:szCs w:val="22"/>
        </w:rPr>
        <w:t>In einer solchen Situation sind mehrere makroökonomische Ziele verletzt (Abb. </w:t>
      </w:r>
      <w:r w:rsidR="00FF7A9A" w:rsidRPr="009C5E44">
        <w:rPr>
          <w:sz w:val="22"/>
          <w:szCs w:val="22"/>
        </w:rPr>
        <w:t>E.13.2.</w:t>
      </w:r>
      <w:r w:rsidRPr="009C5E44">
        <w:rPr>
          <w:sz w:val="22"/>
          <w:szCs w:val="22"/>
        </w:rPr>
        <w:t>):</w:t>
      </w:r>
    </w:p>
    <w:p w14:paraId="3267EF56" w14:textId="77777777" w:rsidR="008B6689" w:rsidRPr="009C5E44" w:rsidRDefault="008B6689" w:rsidP="008B6689">
      <w:pPr>
        <w:pStyle w:val="GS-Ebene1Punkt"/>
        <w:numPr>
          <w:ilvl w:val="0"/>
          <w:numId w:val="2"/>
        </w:numPr>
        <w:ind w:left="142" w:hanging="142"/>
        <w:rPr>
          <w:sz w:val="22"/>
          <w:szCs w:val="22"/>
        </w:rPr>
      </w:pPr>
      <w:r w:rsidRPr="009C5E44">
        <w:rPr>
          <w:sz w:val="22"/>
          <w:szCs w:val="22"/>
        </w:rPr>
        <w:t>Anstieg der Output-Lücke und Verletzung des Ziels Wirtschaftswachstum,</w:t>
      </w:r>
    </w:p>
    <w:p w14:paraId="5855958D" w14:textId="77777777" w:rsidR="008B6689" w:rsidRPr="009C5E44" w:rsidRDefault="008B6689" w:rsidP="008B6689">
      <w:pPr>
        <w:pStyle w:val="GS-Ebene1Punkt"/>
        <w:numPr>
          <w:ilvl w:val="0"/>
          <w:numId w:val="2"/>
        </w:numPr>
        <w:ind w:left="142" w:hanging="142"/>
        <w:rPr>
          <w:sz w:val="22"/>
          <w:szCs w:val="22"/>
        </w:rPr>
      </w:pPr>
      <w:r w:rsidRPr="009C5E44">
        <w:rPr>
          <w:sz w:val="22"/>
          <w:szCs w:val="22"/>
        </w:rPr>
        <w:t>Anstieg der Arbeitslosigkeit,</w:t>
      </w:r>
    </w:p>
    <w:p w14:paraId="66571DDC" w14:textId="77777777" w:rsidR="008B6689" w:rsidRPr="009C5E44" w:rsidRDefault="008B6689" w:rsidP="008B6689">
      <w:pPr>
        <w:pStyle w:val="GS-Ebene1Punkt"/>
        <w:numPr>
          <w:ilvl w:val="0"/>
          <w:numId w:val="2"/>
        </w:numPr>
        <w:ind w:left="142" w:hanging="142"/>
        <w:rPr>
          <w:sz w:val="22"/>
          <w:szCs w:val="22"/>
        </w:rPr>
      </w:pPr>
      <w:r w:rsidRPr="009C5E44">
        <w:rPr>
          <w:sz w:val="22"/>
          <w:szCs w:val="22"/>
        </w:rPr>
        <w:t xml:space="preserve">deflationäre Tendenzen. </w:t>
      </w:r>
    </w:p>
    <w:p w14:paraId="37216062" w14:textId="77777777" w:rsidR="008B6689" w:rsidRPr="009C5E44" w:rsidRDefault="008B6689" w:rsidP="008B6689">
      <w:pPr>
        <w:pStyle w:val="GS"/>
        <w:rPr>
          <w:sz w:val="22"/>
          <w:szCs w:val="22"/>
        </w:rPr>
      </w:pPr>
      <w:r w:rsidRPr="009C5E44">
        <w:rPr>
          <w:sz w:val="22"/>
          <w:szCs w:val="22"/>
        </w:rPr>
        <w:t>Was geschieht nun, wenn die Notenbank den Realzins von 2 auf 1 Prozent senkt? Betrachten wir unsere Nachfragefunktion:</w:t>
      </w:r>
    </w:p>
    <w:p w14:paraId="167B52D1" w14:textId="49115C18" w:rsidR="008B6689" w:rsidRPr="009C5E44" w:rsidRDefault="008B6689" w:rsidP="008B6689">
      <w:pPr>
        <w:pStyle w:val="GS"/>
        <w:rPr>
          <w:sz w:val="22"/>
          <w:szCs w:val="22"/>
        </w:rPr>
      </w:pPr>
      <w:r w:rsidRPr="009C5E44">
        <w:rPr>
          <w:sz w:val="22"/>
          <w:szCs w:val="22"/>
        </w:rPr>
        <w:t>Y = (</w:t>
      </w:r>
      <w:r w:rsidR="00FF7A9A" w:rsidRPr="009C5E44">
        <w:rPr>
          <w:sz w:val="22"/>
          <w:szCs w:val="22"/>
        </w:rPr>
        <w:t>50</w:t>
      </w:r>
      <w:r w:rsidRPr="009C5E44">
        <w:rPr>
          <w:sz w:val="22"/>
          <w:szCs w:val="22"/>
        </w:rPr>
        <w:t xml:space="preserve"> + 0,</w:t>
      </w:r>
      <w:r w:rsidR="00FF7A9A" w:rsidRPr="009C5E44">
        <w:rPr>
          <w:sz w:val="22"/>
          <w:szCs w:val="22"/>
        </w:rPr>
        <w:t>8</w:t>
      </w:r>
      <w:r w:rsidRPr="009C5E44">
        <w:rPr>
          <w:sz w:val="22"/>
          <w:szCs w:val="22"/>
        </w:rPr>
        <w:t xml:space="preserve"> • Y) + (</w:t>
      </w:r>
      <w:r w:rsidR="00FF7A9A" w:rsidRPr="009C5E44">
        <w:rPr>
          <w:sz w:val="22"/>
          <w:szCs w:val="22"/>
        </w:rPr>
        <w:t>550</w:t>
      </w:r>
      <w:r w:rsidRPr="009C5E44">
        <w:rPr>
          <w:sz w:val="22"/>
          <w:szCs w:val="22"/>
        </w:rPr>
        <w:t xml:space="preserve"> – 2</w:t>
      </w:r>
      <w:r w:rsidR="00FF7A9A" w:rsidRPr="009C5E44">
        <w:rPr>
          <w:sz w:val="22"/>
          <w:szCs w:val="22"/>
        </w:rPr>
        <w:t>5</w:t>
      </w:r>
      <w:r w:rsidRPr="009C5E44">
        <w:rPr>
          <w:sz w:val="22"/>
          <w:szCs w:val="22"/>
        </w:rPr>
        <w:t xml:space="preserve"> • </w:t>
      </w:r>
      <w:r w:rsidRPr="009C5E44">
        <w:rPr>
          <w:b/>
          <w:sz w:val="22"/>
          <w:szCs w:val="22"/>
        </w:rPr>
        <w:t>1</w:t>
      </w:r>
      <w:r w:rsidRPr="009C5E44">
        <w:rPr>
          <w:sz w:val="22"/>
          <w:szCs w:val="22"/>
        </w:rPr>
        <w:t>)</w:t>
      </w:r>
    </w:p>
    <w:p w14:paraId="1424CCC8" w14:textId="77777777" w:rsidR="008B6689" w:rsidRPr="009C5E44" w:rsidRDefault="008B6689" w:rsidP="008B6689">
      <w:pPr>
        <w:pStyle w:val="GS"/>
        <w:rPr>
          <w:sz w:val="22"/>
          <w:szCs w:val="22"/>
        </w:rPr>
      </w:pPr>
      <w:r w:rsidRPr="009C5E44">
        <w:rPr>
          <w:sz w:val="22"/>
          <w:szCs w:val="22"/>
        </w:rPr>
        <w:t xml:space="preserve">Y = </w:t>
      </w:r>
      <w:r w:rsidR="00FF7A9A" w:rsidRPr="009C5E44">
        <w:rPr>
          <w:sz w:val="22"/>
          <w:szCs w:val="22"/>
        </w:rPr>
        <w:t>3000</w:t>
      </w:r>
    </w:p>
    <w:p w14:paraId="62D0D89D" w14:textId="66756987" w:rsidR="00FF7A9A" w:rsidRPr="009C5E44" w:rsidRDefault="00FF7A9A" w:rsidP="008B6689">
      <w:pPr>
        <w:pStyle w:val="GS"/>
        <w:rPr>
          <w:sz w:val="22"/>
          <w:szCs w:val="22"/>
        </w:rPr>
      </w:pPr>
      <w:r w:rsidRPr="009C5E44">
        <w:rPr>
          <w:sz w:val="22"/>
          <w:szCs w:val="22"/>
        </w:rPr>
        <w:t xml:space="preserve">Die Output-Lücke würde sich schließen. Die Notenbank könnte also über eine Senkung des realen Zinses den Output stabilisieren und einen negativen Nachfrageschock kompensieren ohne das Ziel der Preisstabilität zu gefährden. Es gibt in diesem Fall </w:t>
      </w:r>
      <w:r w:rsidRPr="009C5E44">
        <w:rPr>
          <w:bCs/>
          <w:sz w:val="22"/>
          <w:szCs w:val="22"/>
        </w:rPr>
        <w:t>keinen</w:t>
      </w:r>
      <w:r w:rsidRPr="009C5E44">
        <w:rPr>
          <w:sz w:val="22"/>
          <w:szCs w:val="22"/>
        </w:rPr>
        <w:t xml:space="preserve"> trade-off zwischen einem Beschäftigungsziel und dem Ziel der Preisstabilität. Im Fall eines positiven Nachfrageschocks und damit verbundener Inflationsgefahren liegt die Empfehlung nahe, den Zinssatz anzuheben. Eine Senkung der Inflation (</w:t>
      </w:r>
      <w:proofErr w:type="spellStart"/>
      <w:r w:rsidRPr="009C5E44">
        <w:rPr>
          <w:sz w:val="22"/>
          <w:szCs w:val="22"/>
        </w:rPr>
        <w:t>Disinflation</w:t>
      </w:r>
      <w:proofErr w:type="spellEnd"/>
      <w:r w:rsidRPr="009C5E44">
        <w:rPr>
          <w:sz w:val="22"/>
          <w:szCs w:val="22"/>
        </w:rPr>
        <w:t xml:space="preserve">) geht jedoch in der Regel mit einer Zunahme an Arbeitslosigkeit bzw. </w:t>
      </w:r>
      <w:proofErr w:type="spellStart"/>
      <w:r w:rsidRPr="009C5E44">
        <w:rPr>
          <w:sz w:val="22"/>
          <w:szCs w:val="22"/>
        </w:rPr>
        <w:t>Outputverlusten</w:t>
      </w:r>
      <w:proofErr w:type="spellEnd"/>
      <w:r w:rsidRPr="009C5E44">
        <w:rPr>
          <w:sz w:val="22"/>
          <w:szCs w:val="22"/>
        </w:rPr>
        <w:t xml:space="preserve"> einher.</w:t>
      </w:r>
    </w:p>
    <w:p w14:paraId="0112F593" w14:textId="77777777" w:rsidR="00FF7A9A" w:rsidRPr="009C5E44" w:rsidRDefault="00FF7A9A" w:rsidP="00FF7A9A">
      <w:pPr>
        <w:pStyle w:val="GS"/>
        <w:rPr>
          <w:sz w:val="22"/>
          <w:szCs w:val="22"/>
        </w:rPr>
      </w:pPr>
      <w:r w:rsidRPr="009C5E44">
        <w:rPr>
          <w:sz w:val="22"/>
          <w:szCs w:val="22"/>
        </w:rPr>
        <w:t xml:space="preserve">Der </w:t>
      </w:r>
      <w:r w:rsidRPr="009C5E44">
        <w:rPr>
          <w:b/>
          <w:bCs/>
          <w:sz w:val="22"/>
          <w:szCs w:val="22"/>
        </w:rPr>
        <w:t>Opferquotient</w:t>
      </w:r>
      <w:r w:rsidRPr="009C5E44">
        <w:rPr>
          <w:sz w:val="22"/>
          <w:szCs w:val="22"/>
        </w:rPr>
        <w:t xml:space="preserve"> (</w:t>
      </w:r>
      <w:proofErr w:type="spellStart"/>
      <w:r w:rsidRPr="009C5E44">
        <w:rPr>
          <w:i/>
          <w:iCs/>
          <w:sz w:val="22"/>
          <w:szCs w:val="22"/>
        </w:rPr>
        <w:t>sacrifice</w:t>
      </w:r>
      <w:proofErr w:type="spellEnd"/>
      <w:r w:rsidRPr="009C5E44">
        <w:rPr>
          <w:i/>
          <w:iCs/>
          <w:sz w:val="22"/>
          <w:szCs w:val="22"/>
        </w:rPr>
        <w:t xml:space="preserve"> </w:t>
      </w:r>
      <w:proofErr w:type="spellStart"/>
      <w:r w:rsidRPr="009C5E44">
        <w:rPr>
          <w:i/>
          <w:iCs/>
          <w:sz w:val="22"/>
          <w:szCs w:val="22"/>
        </w:rPr>
        <w:t>ratio</w:t>
      </w:r>
      <w:proofErr w:type="spellEnd"/>
      <w:r w:rsidRPr="009C5E44">
        <w:rPr>
          <w:sz w:val="22"/>
          <w:szCs w:val="22"/>
        </w:rPr>
        <w:t xml:space="preserve">) sagt uns, wie viel Output verloren geht, wenn die Inflation um einen Prozentpunkt sinkt: </w:t>
      </w:r>
    </w:p>
    <w:p w14:paraId="4F63C984" w14:textId="77777777" w:rsidR="00FF7A9A" w:rsidRPr="009C5E44" w:rsidRDefault="00FF7A9A" w:rsidP="00FF7A9A">
      <w:pPr>
        <w:pStyle w:val="GS"/>
        <w:rPr>
          <w:sz w:val="22"/>
          <w:szCs w:val="22"/>
        </w:rPr>
      </w:pPr>
      <w:r w:rsidRPr="009C5E44">
        <w:rPr>
          <w:sz w:val="22"/>
          <w:szCs w:val="22"/>
        </w:rPr>
        <w:t xml:space="preserve">Opferquotient = Reduktion des BIP in Prozent </w:t>
      </w:r>
      <w:r w:rsidRPr="009C5E44">
        <w:rPr>
          <w:b/>
          <w:bCs/>
          <w:sz w:val="22"/>
          <w:szCs w:val="22"/>
        </w:rPr>
        <w:t>/</w:t>
      </w:r>
      <w:r w:rsidRPr="009C5E44">
        <w:rPr>
          <w:sz w:val="22"/>
          <w:szCs w:val="22"/>
        </w:rPr>
        <w:t xml:space="preserve"> Reduktion der Inflationsrate in Prozent</w:t>
      </w:r>
    </w:p>
    <w:p w14:paraId="4236A0E0" w14:textId="77777777" w:rsidR="00FF7A9A" w:rsidRPr="009C5E44" w:rsidRDefault="00FF7A9A" w:rsidP="008B6689">
      <w:pPr>
        <w:pStyle w:val="GS"/>
        <w:rPr>
          <w:sz w:val="22"/>
          <w:szCs w:val="22"/>
        </w:rPr>
      </w:pPr>
    </w:p>
    <w:p w14:paraId="44C68119" w14:textId="2BB299A8" w:rsidR="008B6689" w:rsidRPr="009C5E44" w:rsidRDefault="00717242" w:rsidP="008B6689">
      <w:pPr>
        <w:pStyle w:val="BU"/>
        <w:rPr>
          <w:sz w:val="22"/>
          <w:szCs w:val="22"/>
        </w:rPr>
      </w:pPr>
      <w:r w:rsidRPr="009C5E44">
        <w:rPr>
          <w:noProof/>
        </w:rPr>
        <w:drawing>
          <wp:inline distT="0" distB="0" distL="0" distR="0" wp14:anchorId="7DBD9A85" wp14:editId="25FC4C4A">
            <wp:extent cx="4599827" cy="347218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06659" cy="3477337"/>
                    </a:xfrm>
                    <a:prstGeom prst="rect">
                      <a:avLst/>
                    </a:prstGeom>
                  </pic:spPr>
                </pic:pic>
              </a:graphicData>
            </a:graphic>
          </wp:inline>
        </w:drawing>
      </w:r>
    </w:p>
    <w:p w14:paraId="0E53801D" w14:textId="77777777" w:rsidR="008B6689" w:rsidRPr="009C5E44" w:rsidRDefault="008B6689" w:rsidP="008B6689">
      <w:pPr>
        <w:pStyle w:val="BU"/>
        <w:rPr>
          <w:sz w:val="22"/>
          <w:szCs w:val="22"/>
        </w:rPr>
      </w:pPr>
      <w:bookmarkStart w:id="3" w:name="_Toc367041554"/>
      <w:bookmarkStart w:id="4" w:name="_Toc367042025"/>
      <w:bookmarkStart w:id="5" w:name="_Toc367042446"/>
      <w:r w:rsidRPr="009C5E44">
        <w:rPr>
          <w:sz w:val="22"/>
          <w:szCs w:val="22"/>
        </w:rPr>
        <w:t>Abb. 13.10: Reaktion der Geldpolitik auf einen negativen Nachfrageschock</w:t>
      </w:r>
      <w:bookmarkEnd w:id="3"/>
      <w:bookmarkEnd w:id="4"/>
      <w:bookmarkEnd w:id="5"/>
    </w:p>
    <w:p w14:paraId="34669ED2" w14:textId="77777777" w:rsidR="008B6689" w:rsidRPr="009C5E44" w:rsidRDefault="008B6689" w:rsidP="008B6689">
      <w:pPr>
        <w:pStyle w:val="GS"/>
        <w:rPr>
          <w:sz w:val="22"/>
          <w:szCs w:val="22"/>
        </w:rPr>
      </w:pPr>
      <w:r w:rsidRPr="009C5E44">
        <w:rPr>
          <w:sz w:val="22"/>
          <w:szCs w:val="22"/>
        </w:rPr>
        <w:t xml:space="preserve">Der Opferquotient für Deutschland liegt, in Abhängigkeit der verwendeten Messmethode und verschiedener Zeitpunkte, zwischen 0,8 und 4. Je höher die </w:t>
      </w:r>
      <w:proofErr w:type="spellStart"/>
      <w:r w:rsidRPr="009C5E44">
        <w:rPr>
          <w:sz w:val="22"/>
          <w:szCs w:val="22"/>
        </w:rPr>
        <w:t>s</w:t>
      </w:r>
      <w:r w:rsidRPr="009C5E44">
        <w:rPr>
          <w:i/>
          <w:iCs/>
          <w:sz w:val="22"/>
          <w:szCs w:val="22"/>
        </w:rPr>
        <w:t>acrifice</w:t>
      </w:r>
      <w:proofErr w:type="spellEnd"/>
      <w:r w:rsidRPr="009C5E44">
        <w:rPr>
          <w:i/>
          <w:iCs/>
          <w:sz w:val="22"/>
          <w:szCs w:val="22"/>
        </w:rPr>
        <w:t xml:space="preserve"> </w:t>
      </w:r>
      <w:proofErr w:type="spellStart"/>
      <w:r w:rsidRPr="009C5E44">
        <w:rPr>
          <w:i/>
          <w:iCs/>
          <w:sz w:val="22"/>
          <w:szCs w:val="22"/>
        </w:rPr>
        <w:t>ratio</w:t>
      </w:r>
      <w:proofErr w:type="spellEnd"/>
      <w:r w:rsidRPr="009C5E44">
        <w:rPr>
          <w:sz w:val="22"/>
          <w:szCs w:val="22"/>
        </w:rPr>
        <w:t xml:space="preserve"> ist, desto höher sind die Kosten der Inflationsbekämpfung. Ein Opferquotient von </w:t>
      </w:r>
      <w:r w:rsidR="001020D9" w:rsidRPr="009C5E44">
        <w:rPr>
          <w:sz w:val="22"/>
          <w:szCs w:val="22"/>
        </w:rPr>
        <w:t>2</w:t>
      </w:r>
      <w:r w:rsidRPr="009C5E44">
        <w:rPr>
          <w:sz w:val="22"/>
          <w:szCs w:val="22"/>
        </w:rPr>
        <w:t xml:space="preserve"> würde z. B. bedeuten, dass eine anvisierte Reduktion der Inflationsrate von </w:t>
      </w:r>
      <w:r w:rsidR="001020D9" w:rsidRPr="009C5E44">
        <w:rPr>
          <w:sz w:val="22"/>
          <w:szCs w:val="22"/>
        </w:rPr>
        <w:t>10</w:t>
      </w:r>
      <w:r w:rsidRPr="009C5E44">
        <w:rPr>
          <w:sz w:val="22"/>
          <w:szCs w:val="22"/>
        </w:rPr>
        <w:t xml:space="preserve"> Prozent auf 2 Prozent mit </w:t>
      </w:r>
      <w:proofErr w:type="spellStart"/>
      <w:r w:rsidRPr="009C5E44">
        <w:rPr>
          <w:sz w:val="22"/>
          <w:szCs w:val="22"/>
        </w:rPr>
        <w:t>Outputverlusten</w:t>
      </w:r>
      <w:proofErr w:type="spellEnd"/>
      <w:r w:rsidRPr="009C5E44">
        <w:rPr>
          <w:sz w:val="22"/>
          <w:szCs w:val="22"/>
        </w:rPr>
        <w:t xml:space="preserve"> von 1</w:t>
      </w:r>
      <w:r w:rsidR="001020D9" w:rsidRPr="009C5E44">
        <w:rPr>
          <w:sz w:val="22"/>
          <w:szCs w:val="22"/>
        </w:rPr>
        <w:t>6</w:t>
      </w:r>
      <w:r w:rsidRPr="009C5E44">
        <w:rPr>
          <w:sz w:val="22"/>
          <w:szCs w:val="22"/>
        </w:rPr>
        <w:t> Prozent erkauft werden müsste (</w:t>
      </w:r>
      <w:r w:rsidR="001020D9" w:rsidRPr="009C5E44">
        <w:rPr>
          <w:sz w:val="22"/>
          <w:szCs w:val="22"/>
        </w:rPr>
        <w:t>2</w:t>
      </w:r>
      <w:r w:rsidRPr="009C5E44">
        <w:rPr>
          <w:sz w:val="22"/>
          <w:szCs w:val="22"/>
        </w:rPr>
        <w:t xml:space="preserve"> = 1</w:t>
      </w:r>
      <w:r w:rsidR="001020D9" w:rsidRPr="009C5E44">
        <w:rPr>
          <w:sz w:val="22"/>
          <w:szCs w:val="22"/>
        </w:rPr>
        <w:t>6</w:t>
      </w:r>
      <w:r w:rsidRPr="009C5E44">
        <w:rPr>
          <w:sz w:val="22"/>
          <w:szCs w:val="22"/>
        </w:rPr>
        <w:t xml:space="preserve"> % / </w:t>
      </w:r>
      <w:r w:rsidR="001020D9" w:rsidRPr="009C5E44">
        <w:rPr>
          <w:sz w:val="22"/>
          <w:szCs w:val="22"/>
        </w:rPr>
        <w:t>8</w:t>
      </w:r>
      <w:r w:rsidRPr="009C5E44">
        <w:rPr>
          <w:sz w:val="22"/>
          <w:szCs w:val="22"/>
        </w:rPr>
        <w:t> %).</w:t>
      </w:r>
    </w:p>
    <w:p w14:paraId="5FE7A04D" w14:textId="77777777" w:rsidR="008B6689" w:rsidRPr="009C5E44" w:rsidRDefault="008B6689" w:rsidP="008B6689">
      <w:pPr>
        <w:pStyle w:val="U4"/>
        <w:rPr>
          <w:sz w:val="22"/>
          <w:szCs w:val="22"/>
        </w:rPr>
      </w:pPr>
      <w:r w:rsidRPr="009C5E44">
        <w:rPr>
          <w:sz w:val="22"/>
          <w:szCs w:val="22"/>
        </w:rPr>
        <w:t>Negativer Angebotsschock</w:t>
      </w:r>
    </w:p>
    <w:p w14:paraId="53FD84C9" w14:textId="3EE6EF69" w:rsidR="00205522" w:rsidRPr="009C5E44" w:rsidRDefault="008B6689" w:rsidP="008B6689">
      <w:pPr>
        <w:pStyle w:val="GS"/>
        <w:rPr>
          <w:sz w:val="22"/>
          <w:szCs w:val="22"/>
        </w:rPr>
      </w:pPr>
      <w:r w:rsidRPr="009C5E44">
        <w:rPr>
          <w:sz w:val="22"/>
          <w:szCs w:val="22"/>
        </w:rPr>
        <w:t>Betrachten wir als Beispiel für einen Angebotsschock einen Anstieg der E</w:t>
      </w:r>
      <w:r w:rsidR="00D009DF" w:rsidRPr="009C5E44">
        <w:rPr>
          <w:sz w:val="22"/>
          <w:szCs w:val="22"/>
        </w:rPr>
        <w:t>nergie</w:t>
      </w:r>
      <w:r w:rsidRPr="009C5E44">
        <w:rPr>
          <w:sz w:val="22"/>
          <w:szCs w:val="22"/>
        </w:rPr>
        <w:t xml:space="preserve">preise. Wir nehmen an, dieser Schock habe einen Wert von </w:t>
      </w:r>
      <w:r w:rsidR="00205522" w:rsidRPr="009C5E44">
        <w:rPr>
          <w:sz w:val="22"/>
          <w:szCs w:val="22"/>
        </w:rPr>
        <w:t>1</w:t>
      </w:r>
      <w:r w:rsidRPr="009C5E44">
        <w:rPr>
          <w:sz w:val="22"/>
          <w:szCs w:val="22"/>
        </w:rPr>
        <w:t xml:space="preserve"> (</w:t>
      </w:r>
      <w:proofErr w:type="spellStart"/>
      <w:r w:rsidRPr="009C5E44">
        <w:rPr>
          <w:bCs/>
          <w:sz w:val="22"/>
          <w:szCs w:val="22"/>
        </w:rPr>
        <w:t>Störterm</w:t>
      </w:r>
      <w:proofErr w:type="spellEnd"/>
      <w:r w:rsidRPr="009C5E44">
        <w:rPr>
          <w:bCs/>
          <w:sz w:val="22"/>
          <w:szCs w:val="22"/>
        </w:rPr>
        <w:t xml:space="preserve"> </w:t>
      </w:r>
      <w:r w:rsidRPr="009C5E44">
        <w:rPr>
          <w:rFonts w:ascii="Symbol" w:hAnsi="Symbol" w:cs="Symbol"/>
          <w:sz w:val="22"/>
          <w:szCs w:val="22"/>
        </w:rPr>
        <w:t></w:t>
      </w:r>
      <w:r w:rsidRPr="009C5E44">
        <w:rPr>
          <w:sz w:val="22"/>
          <w:szCs w:val="22"/>
        </w:rPr>
        <w:t xml:space="preserve"> = 1), sodass die Inflationsrate von 2 auf 3 Prozent steigt. Grafisch verschiebt sich die Phillips-Kurve nach oben (Abb. </w:t>
      </w:r>
      <w:r w:rsidR="00D009DF" w:rsidRPr="009C5E44">
        <w:rPr>
          <w:sz w:val="22"/>
          <w:szCs w:val="22"/>
        </w:rPr>
        <w:t>E.</w:t>
      </w:r>
      <w:r w:rsidRPr="009C5E44">
        <w:rPr>
          <w:sz w:val="22"/>
          <w:szCs w:val="22"/>
        </w:rPr>
        <w:t>13.</w:t>
      </w:r>
      <w:r w:rsidR="00D009DF" w:rsidRPr="009C5E44">
        <w:rPr>
          <w:sz w:val="22"/>
          <w:szCs w:val="22"/>
        </w:rPr>
        <w:t>3</w:t>
      </w:r>
      <w:r w:rsidRPr="009C5E44">
        <w:rPr>
          <w:sz w:val="22"/>
          <w:szCs w:val="22"/>
        </w:rPr>
        <w:t>). Bei unverändertem Realzins bleibt der Output zunächst unverändert</w:t>
      </w:r>
      <w:r w:rsidR="00205522" w:rsidRPr="009C5E44">
        <w:rPr>
          <w:sz w:val="22"/>
          <w:szCs w:val="22"/>
        </w:rPr>
        <w:t>:</w:t>
      </w:r>
      <w:r w:rsidRPr="009C5E44">
        <w:rPr>
          <w:sz w:val="22"/>
          <w:szCs w:val="22"/>
        </w:rPr>
        <w:t xml:space="preserve"> </w:t>
      </w:r>
    </w:p>
    <w:p w14:paraId="3FDBF28E" w14:textId="77777777" w:rsidR="00205522" w:rsidRPr="009C5E44" w:rsidRDefault="00205522" w:rsidP="00205522">
      <w:pPr>
        <w:pStyle w:val="GS"/>
        <w:rPr>
          <w:sz w:val="22"/>
          <w:szCs w:val="22"/>
        </w:rPr>
      </w:pPr>
      <w:r w:rsidRPr="009C5E44">
        <w:rPr>
          <w:sz w:val="22"/>
          <w:szCs w:val="22"/>
        </w:rPr>
        <w:t xml:space="preserve">π = 2 + 0,004 • (3000 – 3000) + </w:t>
      </w:r>
      <w:r w:rsidRPr="009C5E44">
        <w:rPr>
          <w:rFonts w:ascii="Symbol" w:hAnsi="Symbol" w:cs="Symbol"/>
          <w:sz w:val="22"/>
          <w:szCs w:val="22"/>
        </w:rPr>
        <w:t></w:t>
      </w:r>
      <w:r w:rsidRPr="009C5E44">
        <w:rPr>
          <w:rFonts w:ascii="Symbol" w:hAnsi="Symbol" w:cs="Symbol"/>
          <w:sz w:val="22"/>
          <w:szCs w:val="22"/>
        </w:rPr>
        <w:t></w:t>
      </w:r>
      <w:r w:rsidRPr="009C5E44">
        <w:rPr>
          <w:rFonts w:ascii="Symbol" w:hAnsi="Symbol" w:cs="Symbol"/>
          <w:sz w:val="22"/>
          <w:szCs w:val="22"/>
        </w:rPr>
        <w:t></w:t>
      </w:r>
      <w:r w:rsidRPr="009C5E44">
        <w:rPr>
          <w:rFonts w:ascii="Symbol" w:hAnsi="Symbol" w:cs="Symbol"/>
          <w:sz w:val="22"/>
          <w:szCs w:val="22"/>
        </w:rPr>
        <w:t></w:t>
      </w:r>
      <w:r w:rsidRPr="009C5E44">
        <w:rPr>
          <w:sz w:val="22"/>
          <w:szCs w:val="22"/>
        </w:rPr>
        <w:t>2 + 0,004 • (3000 – 3000) + 1</w:t>
      </w:r>
      <w:r w:rsidRPr="009C5E44">
        <w:rPr>
          <w:rFonts w:ascii="Symbol" w:hAnsi="Symbol" w:cs="Symbol"/>
          <w:sz w:val="22"/>
          <w:szCs w:val="22"/>
        </w:rPr>
        <w:t></w:t>
      </w:r>
      <w:r w:rsidRPr="009C5E44">
        <w:rPr>
          <w:rFonts w:ascii="Symbol" w:hAnsi="Symbol" w:cs="Symbol"/>
          <w:sz w:val="22"/>
          <w:szCs w:val="22"/>
        </w:rPr>
        <w:t></w:t>
      </w:r>
      <w:r w:rsidRPr="009C5E44">
        <w:rPr>
          <w:rFonts w:ascii="Symbol" w:hAnsi="Symbol" w:cs="Symbol"/>
          <w:sz w:val="22"/>
          <w:szCs w:val="22"/>
        </w:rPr>
        <w:t></w:t>
      </w:r>
      <w:r w:rsidRPr="009C5E44">
        <w:rPr>
          <w:rFonts w:ascii="Symbol" w:hAnsi="Symbol" w:cs="Symbol"/>
          <w:sz w:val="22"/>
          <w:szCs w:val="22"/>
        </w:rPr>
        <w:t></w:t>
      </w:r>
    </w:p>
    <w:p w14:paraId="73F4FBC3" w14:textId="77777777" w:rsidR="00205522" w:rsidRPr="009C5E44" w:rsidRDefault="00205522" w:rsidP="00205522">
      <w:pPr>
        <w:pStyle w:val="GS"/>
        <w:rPr>
          <w:sz w:val="22"/>
          <w:szCs w:val="22"/>
        </w:rPr>
      </w:pPr>
      <w:r w:rsidRPr="009C5E44">
        <w:rPr>
          <w:sz w:val="22"/>
          <w:szCs w:val="22"/>
        </w:rPr>
        <w:t>Y = (100 + 0,8 •</w:t>
      </w:r>
      <w:r w:rsidRPr="009C5E44">
        <w:rPr>
          <w:b/>
          <w:bCs/>
          <w:sz w:val="22"/>
          <w:szCs w:val="22"/>
        </w:rPr>
        <w:t xml:space="preserve"> </w:t>
      </w:r>
      <w:r w:rsidRPr="009C5E44">
        <w:rPr>
          <w:sz w:val="22"/>
          <w:szCs w:val="22"/>
        </w:rPr>
        <w:t>Y) + (550 – 25 • 2) = 0,8 •</w:t>
      </w:r>
      <w:r w:rsidRPr="009C5E44">
        <w:rPr>
          <w:b/>
          <w:bCs/>
          <w:sz w:val="22"/>
          <w:szCs w:val="22"/>
        </w:rPr>
        <w:t xml:space="preserve"> </w:t>
      </w:r>
      <w:r w:rsidRPr="009C5E44">
        <w:rPr>
          <w:sz w:val="22"/>
          <w:szCs w:val="22"/>
        </w:rPr>
        <w:t>Y + 600</w:t>
      </w:r>
    </w:p>
    <w:p w14:paraId="186B614D" w14:textId="77777777" w:rsidR="00205522" w:rsidRPr="009C5E44" w:rsidRDefault="00205522" w:rsidP="008B6689">
      <w:pPr>
        <w:pStyle w:val="GS"/>
        <w:rPr>
          <w:sz w:val="22"/>
          <w:szCs w:val="22"/>
        </w:rPr>
      </w:pPr>
      <w:r w:rsidRPr="009C5E44">
        <w:rPr>
          <w:sz w:val="22"/>
          <w:szCs w:val="22"/>
        </w:rPr>
        <w:t>Y=3000</w:t>
      </w:r>
    </w:p>
    <w:p w14:paraId="6A808B61" w14:textId="77777777" w:rsidR="008B6689" w:rsidRPr="009C5E44" w:rsidRDefault="008B6689" w:rsidP="008B6689">
      <w:pPr>
        <w:pStyle w:val="GS"/>
        <w:rPr>
          <w:sz w:val="22"/>
          <w:szCs w:val="22"/>
        </w:rPr>
      </w:pPr>
      <w:r w:rsidRPr="009C5E44">
        <w:rPr>
          <w:sz w:val="22"/>
          <w:szCs w:val="22"/>
        </w:rPr>
        <w:t xml:space="preserve">Wie soll nun die Notenbank auf eine derartige Störung reagieren? </w:t>
      </w:r>
    </w:p>
    <w:p w14:paraId="60700238" w14:textId="77777777" w:rsidR="008B6689" w:rsidRPr="009C5E44" w:rsidRDefault="008B6689" w:rsidP="008B6689">
      <w:pPr>
        <w:pStyle w:val="GS"/>
        <w:rPr>
          <w:sz w:val="22"/>
          <w:szCs w:val="22"/>
        </w:rPr>
      </w:pPr>
      <w:r w:rsidRPr="009C5E44">
        <w:rPr>
          <w:sz w:val="22"/>
          <w:szCs w:val="22"/>
        </w:rPr>
        <w:t>Wenn der Realzins nach dem Schock weiterhin bei 2 Prozent liegen soll, muss die Notenbank den Nominalzins bei einer Inflationsrate von 3 auf 5 Prozent anheben. Diese Strategie hat das Risiko, dass die Unternehmen und privaten Haushalte ihre Inflationserwartungen in der nächsten Periode nach oben anpassen (π</w:t>
      </w:r>
      <w:r w:rsidRPr="009C5E44">
        <w:rPr>
          <w:sz w:val="22"/>
          <w:szCs w:val="22"/>
          <w:vertAlign w:val="superscript"/>
        </w:rPr>
        <w:t xml:space="preserve">e </w:t>
      </w:r>
      <w:r w:rsidRPr="009C5E44">
        <w:rPr>
          <w:sz w:val="22"/>
          <w:szCs w:val="22"/>
        </w:rPr>
        <w:t>&gt;</w:t>
      </w:r>
      <w:r w:rsidRPr="009C5E44">
        <w:rPr>
          <w:sz w:val="22"/>
          <w:szCs w:val="22"/>
          <w:vertAlign w:val="superscript"/>
        </w:rPr>
        <w:t xml:space="preserve"> </w:t>
      </w:r>
      <w:r w:rsidRPr="009C5E44">
        <w:rPr>
          <w:sz w:val="22"/>
          <w:szCs w:val="22"/>
        </w:rPr>
        <w:t>π*). Will die Notenbank dieses Risiko vermeiden und die Inflationsrate bei ihrem Zielwert von 2 Prozent stabilisieren, muss sie die Realzinsen</w:t>
      </w:r>
      <w:r w:rsidR="00D97889" w:rsidRPr="009C5E44">
        <w:rPr>
          <w:sz w:val="22"/>
          <w:szCs w:val="22"/>
        </w:rPr>
        <w:t xml:space="preserve"> auf 4%</w:t>
      </w:r>
      <w:r w:rsidRPr="009C5E44">
        <w:rPr>
          <w:sz w:val="22"/>
          <w:szCs w:val="22"/>
        </w:rPr>
        <w:t xml:space="preserve"> erhöhen. Dieses reduziert den Output:</w:t>
      </w:r>
    </w:p>
    <w:p w14:paraId="44121375" w14:textId="77777777" w:rsidR="008F70C6" w:rsidRPr="009C5E44" w:rsidRDefault="008F70C6" w:rsidP="008F70C6">
      <w:pPr>
        <w:pStyle w:val="GS"/>
        <w:rPr>
          <w:sz w:val="22"/>
          <w:szCs w:val="22"/>
        </w:rPr>
      </w:pPr>
      <w:r w:rsidRPr="009C5E44">
        <w:rPr>
          <w:sz w:val="22"/>
          <w:szCs w:val="22"/>
        </w:rPr>
        <w:t>Y = (100 + 0,8 •</w:t>
      </w:r>
      <w:r w:rsidRPr="009C5E44">
        <w:rPr>
          <w:b/>
          <w:bCs/>
          <w:sz w:val="22"/>
          <w:szCs w:val="22"/>
        </w:rPr>
        <w:t xml:space="preserve"> </w:t>
      </w:r>
      <w:r w:rsidRPr="009C5E44">
        <w:rPr>
          <w:sz w:val="22"/>
          <w:szCs w:val="22"/>
        </w:rPr>
        <w:t xml:space="preserve">Y) + (550 – 25 • </w:t>
      </w:r>
      <w:r w:rsidR="00D97889" w:rsidRPr="009C5E44">
        <w:rPr>
          <w:sz w:val="22"/>
          <w:szCs w:val="22"/>
        </w:rPr>
        <w:t>4</w:t>
      </w:r>
      <w:r w:rsidRPr="009C5E44">
        <w:rPr>
          <w:sz w:val="22"/>
          <w:szCs w:val="22"/>
        </w:rPr>
        <w:t>) = 0,8 •</w:t>
      </w:r>
      <w:r w:rsidRPr="009C5E44">
        <w:rPr>
          <w:b/>
          <w:bCs/>
          <w:sz w:val="22"/>
          <w:szCs w:val="22"/>
        </w:rPr>
        <w:t xml:space="preserve"> </w:t>
      </w:r>
      <w:r w:rsidRPr="009C5E44">
        <w:rPr>
          <w:sz w:val="22"/>
          <w:szCs w:val="22"/>
        </w:rPr>
        <w:t xml:space="preserve">Y + </w:t>
      </w:r>
      <w:r w:rsidR="00205522" w:rsidRPr="009C5E44">
        <w:rPr>
          <w:sz w:val="22"/>
          <w:szCs w:val="22"/>
        </w:rPr>
        <w:t>55</w:t>
      </w:r>
      <w:r w:rsidR="00D97889" w:rsidRPr="009C5E44">
        <w:rPr>
          <w:sz w:val="22"/>
          <w:szCs w:val="22"/>
        </w:rPr>
        <w:t>0</w:t>
      </w:r>
    </w:p>
    <w:p w14:paraId="048145AD" w14:textId="77777777" w:rsidR="00205522" w:rsidRPr="009C5E44" w:rsidRDefault="00205522" w:rsidP="008F70C6">
      <w:pPr>
        <w:pStyle w:val="GS"/>
        <w:rPr>
          <w:sz w:val="22"/>
          <w:szCs w:val="22"/>
        </w:rPr>
      </w:pPr>
      <w:r w:rsidRPr="009C5E44">
        <w:rPr>
          <w:sz w:val="22"/>
          <w:szCs w:val="22"/>
        </w:rPr>
        <w:t>Y=2</w:t>
      </w:r>
      <w:r w:rsidR="00D97889" w:rsidRPr="009C5E44">
        <w:rPr>
          <w:sz w:val="22"/>
          <w:szCs w:val="22"/>
        </w:rPr>
        <w:t>750</w:t>
      </w:r>
    </w:p>
    <w:p w14:paraId="6E5AACFA" w14:textId="77777777" w:rsidR="008B6689" w:rsidRPr="009C5E44" w:rsidRDefault="008B6689" w:rsidP="008B6689">
      <w:pPr>
        <w:pStyle w:val="GS"/>
        <w:rPr>
          <w:sz w:val="22"/>
          <w:szCs w:val="22"/>
        </w:rPr>
      </w:pPr>
      <w:r w:rsidRPr="009C5E44">
        <w:rPr>
          <w:sz w:val="22"/>
          <w:szCs w:val="22"/>
        </w:rPr>
        <w:t>Eingesetzt in</w:t>
      </w:r>
      <w:r w:rsidR="001B52A2" w:rsidRPr="009C5E44">
        <w:rPr>
          <w:sz w:val="22"/>
          <w:szCs w:val="22"/>
        </w:rPr>
        <w:t xml:space="preserve"> die</w:t>
      </w:r>
      <w:r w:rsidRPr="009C5E44">
        <w:rPr>
          <w:sz w:val="22"/>
          <w:szCs w:val="22"/>
        </w:rPr>
        <w:t xml:space="preserve"> </w:t>
      </w:r>
      <w:r w:rsidR="00D97889" w:rsidRPr="009C5E44">
        <w:rPr>
          <w:sz w:val="22"/>
          <w:szCs w:val="22"/>
        </w:rPr>
        <w:t>Preisg</w:t>
      </w:r>
      <w:r w:rsidRPr="009C5E44">
        <w:rPr>
          <w:sz w:val="22"/>
          <w:szCs w:val="22"/>
        </w:rPr>
        <w:t>leichung:</w:t>
      </w:r>
    </w:p>
    <w:p w14:paraId="27AAD654" w14:textId="77777777" w:rsidR="00D97889" w:rsidRPr="009C5E44" w:rsidRDefault="00D97889" w:rsidP="00D97889">
      <w:pPr>
        <w:pStyle w:val="GS"/>
        <w:rPr>
          <w:sz w:val="22"/>
          <w:szCs w:val="22"/>
        </w:rPr>
      </w:pPr>
      <w:r w:rsidRPr="009C5E44">
        <w:rPr>
          <w:sz w:val="22"/>
          <w:szCs w:val="22"/>
        </w:rPr>
        <w:t>π = 2 + 0,004 • (2750 – 3000) + 1</w:t>
      </w:r>
      <w:r w:rsidRPr="009C5E44">
        <w:rPr>
          <w:rFonts w:ascii="Symbol" w:hAnsi="Symbol" w:cs="Symbol"/>
          <w:sz w:val="22"/>
          <w:szCs w:val="22"/>
        </w:rPr>
        <w:t></w:t>
      </w:r>
      <w:r w:rsidRPr="009C5E44">
        <w:rPr>
          <w:rFonts w:ascii="Symbol" w:hAnsi="Symbol" w:cs="Symbol"/>
          <w:sz w:val="22"/>
          <w:szCs w:val="22"/>
        </w:rPr>
        <w:t></w:t>
      </w:r>
      <w:r w:rsidRPr="009C5E44">
        <w:rPr>
          <w:rFonts w:ascii="Symbol" w:hAnsi="Symbol" w:cs="Symbol"/>
          <w:sz w:val="22"/>
          <w:szCs w:val="22"/>
        </w:rPr>
        <w:t></w:t>
      </w:r>
      <w:r w:rsidRPr="009C5E44">
        <w:rPr>
          <w:sz w:val="22"/>
          <w:szCs w:val="22"/>
        </w:rPr>
        <w:t>2 + 0,004 • (–250) + 1</w:t>
      </w:r>
      <w:r w:rsidRPr="009C5E44">
        <w:rPr>
          <w:rFonts w:ascii="Symbol" w:hAnsi="Symbol" w:cs="Symbol"/>
          <w:sz w:val="22"/>
          <w:szCs w:val="22"/>
        </w:rPr>
        <w:t></w:t>
      </w:r>
      <w:r w:rsidRPr="009C5E44">
        <w:rPr>
          <w:rFonts w:ascii="Symbol" w:hAnsi="Symbol" w:cs="Symbol"/>
          <w:sz w:val="22"/>
          <w:szCs w:val="22"/>
        </w:rPr>
        <w:t></w:t>
      </w:r>
      <w:r w:rsidRPr="009C5E44">
        <w:rPr>
          <w:rFonts w:ascii="Symbol" w:hAnsi="Symbol" w:cs="Symbol"/>
          <w:sz w:val="22"/>
          <w:szCs w:val="22"/>
        </w:rPr>
        <w:t></w:t>
      </w:r>
      <w:r w:rsidRPr="009C5E44">
        <w:rPr>
          <w:rFonts w:ascii="Symbol" w:hAnsi="Symbol" w:cs="Symbol"/>
          <w:sz w:val="22"/>
          <w:szCs w:val="22"/>
        </w:rPr>
        <w:t></w:t>
      </w:r>
    </w:p>
    <w:p w14:paraId="5FED1062" w14:textId="77777777" w:rsidR="008B6689" w:rsidRPr="009C5E44" w:rsidRDefault="008B6689" w:rsidP="008B6689">
      <w:pPr>
        <w:pStyle w:val="GS"/>
        <w:rPr>
          <w:sz w:val="22"/>
          <w:szCs w:val="22"/>
        </w:rPr>
      </w:pPr>
      <w:r w:rsidRPr="009C5E44">
        <w:rPr>
          <w:sz w:val="22"/>
          <w:szCs w:val="22"/>
        </w:rPr>
        <w:t xml:space="preserve">Anders als im Fall eines negativen Nachfrageschocks, sieht sich die Notenbank einem </w:t>
      </w:r>
      <w:r w:rsidRPr="009C5E44">
        <w:rPr>
          <w:bCs/>
          <w:sz w:val="22"/>
          <w:szCs w:val="22"/>
        </w:rPr>
        <w:t>Zielkonflikt</w:t>
      </w:r>
      <w:r w:rsidRPr="009C5E44">
        <w:rPr>
          <w:sz w:val="22"/>
          <w:szCs w:val="22"/>
        </w:rPr>
        <w:t xml:space="preserve"> gegenüber, der sich aus dem Wachstumsziel (Beschäftigungsziel) sowie dem Inflationsziel ergibt. Wie sich die Notenbank entscheidet, ist u. a. davon abhängig wie sie die Ziele gewichtet und wie sie z. B. die Reaktion der Tarifpartner einschätzt. Würde die Notenbank beide Ziele gleich gewichten, würde die </w:t>
      </w:r>
      <w:r w:rsidRPr="009C5E44">
        <w:rPr>
          <w:sz w:val="22"/>
          <w:szCs w:val="22"/>
        </w:rPr>
        <w:lastRenderedPageBreak/>
        <w:t xml:space="preserve">tolerierte Inflationsrate nicht bei 2 Prozent, sondern bei 2,5 Prozent liegen. In diesem Fall errechnet sich eine </w:t>
      </w:r>
      <w:proofErr w:type="spellStart"/>
      <w:r w:rsidRPr="009C5E44">
        <w:rPr>
          <w:sz w:val="22"/>
          <w:szCs w:val="22"/>
        </w:rPr>
        <w:t>Outputlücke</w:t>
      </w:r>
      <w:proofErr w:type="spellEnd"/>
      <w:r w:rsidRPr="009C5E44">
        <w:rPr>
          <w:sz w:val="22"/>
          <w:szCs w:val="22"/>
        </w:rPr>
        <w:t xml:space="preserve"> von 125 (Y = </w:t>
      </w:r>
      <w:r w:rsidR="00D97889" w:rsidRPr="009C5E44">
        <w:rPr>
          <w:sz w:val="22"/>
          <w:szCs w:val="22"/>
        </w:rPr>
        <w:t>2875</w:t>
      </w:r>
      <w:r w:rsidRPr="009C5E44">
        <w:rPr>
          <w:sz w:val="22"/>
          <w:szCs w:val="22"/>
        </w:rPr>
        <w:t xml:space="preserve">) und ein Realzins von </w:t>
      </w:r>
      <w:r w:rsidR="00D97889" w:rsidRPr="009C5E44">
        <w:rPr>
          <w:sz w:val="22"/>
          <w:szCs w:val="22"/>
        </w:rPr>
        <w:t>3</w:t>
      </w:r>
      <w:r w:rsidRPr="009C5E44">
        <w:rPr>
          <w:sz w:val="22"/>
          <w:szCs w:val="22"/>
        </w:rPr>
        <w:t> Prozent (Abb. </w:t>
      </w:r>
      <w:r w:rsidR="00D97889" w:rsidRPr="009C5E44">
        <w:rPr>
          <w:sz w:val="22"/>
          <w:szCs w:val="22"/>
        </w:rPr>
        <w:t>E.13.3</w:t>
      </w:r>
      <w:r w:rsidRPr="009C5E44">
        <w:rPr>
          <w:sz w:val="22"/>
          <w:szCs w:val="22"/>
        </w:rPr>
        <w:t xml:space="preserve">). </w:t>
      </w:r>
    </w:p>
    <w:p w14:paraId="249A5E76" w14:textId="77777777" w:rsidR="008B6689" w:rsidRPr="009C5E44" w:rsidRDefault="008B6689" w:rsidP="008B6689">
      <w:pPr>
        <w:pStyle w:val="GS"/>
        <w:rPr>
          <w:sz w:val="22"/>
          <w:szCs w:val="22"/>
        </w:rPr>
      </w:pPr>
      <w:r w:rsidRPr="009C5E44">
        <w:rPr>
          <w:sz w:val="22"/>
          <w:szCs w:val="22"/>
        </w:rPr>
        <w:t xml:space="preserve">In der Praxis lassen sich häufig Kompromisslösungen zwischen beiden Zielen beobachten. Dies wird z. B. dann deutlich, wenn die Notenbank (wie z. B. das Eurosystem) ein Inflationsziel nur „mittelfristig“ anstrebt und ein temporäres Überschießen z. B. durch Ölpreissteigerungen toleriert. </w:t>
      </w:r>
    </w:p>
    <w:p w14:paraId="5126AD0F" w14:textId="77777777" w:rsidR="008B6689" w:rsidRPr="009C5E44" w:rsidRDefault="001B52A2" w:rsidP="008B6689">
      <w:pPr>
        <w:pStyle w:val="BU"/>
        <w:rPr>
          <w:sz w:val="22"/>
          <w:szCs w:val="22"/>
        </w:rPr>
      </w:pPr>
      <w:r w:rsidRPr="009C5E44">
        <w:rPr>
          <w:noProof/>
          <w:sz w:val="22"/>
          <w:szCs w:val="22"/>
        </w:rPr>
        <w:drawing>
          <wp:inline distT="0" distB="0" distL="0" distR="0" wp14:anchorId="42F5183E" wp14:editId="2635E986">
            <wp:extent cx="4572396" cy="342929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72396" cy="3429297"/>
                    </a:xfrm>
                    <a:prstGeom prst="rect">
                      <a:avLst/>
                    </a:prstGeom>
                  </pic:spPr>
                </pic:pic>
              </a:graphicData>
            </a:graphic>
          </wp:inline>
        </w:drawing>
      </w:r>
    </w:p>
    <w:p w14:paraId="53C9EA45" w14:textId="77777777" w:rsidR="008B6689" w:rsidRPr="009C5E44" w:rsidRDefault="008B6689" w:rsidP="008B6689">
      <w:pPr>
        <w:pStyle w:val="BU"/>
        <w:rPr>
          <w:sz w:val="22"/>
          <w:szCs w:val="22"/>
        </w:rPr>
      </w:pPr>
      <w:bookmarkStart w:id="6" w:name="_Toc367041555"/>
      <w:bookmarkStart w:id="7" w:name="_Toc367042026"/>
      <w:bookmarkStart w:id="8" w:name="_Toc367042447"/>
      <w:r w:rsidRPr="009C5E44">
        <w:rPr>
          <w:sz w:val="22"/>
          <w:szCs w:val="22"/>
        </w:rPr>
        <w:t>Abb. </w:t>
      </w:r>
      <w:r w:rsidR="001B52A2" w:rsidRPr="009C5E44">
        <w:rPr>
          <w:sz w:val="22"/>
          <w:szCs w:val="22"/>
        </w:rPr>
        <w:t>E.1</w:t>
      </w:r>
      <w:r w:rsidRPr="009C5E44">
        <w:rPr>
          <w:sz w:val="22"/>
          <w:szCs w:val="22"/>
        </w:rPr>
        <w:t>3.</w:t>
      </w:r>
      <w:r w:rsidR="001B52A2" w:rsidRPr="009C5E44">
        <w:rPr>
          <w:sz w:val="22"/>
          <w:szCs w:val="22"/>
        </w:rPr>
        <w:t>3</w:t>
      </w:r>
      <w:r w:rsidRPr="009C5E44">
        <w:rPr>
          <w:sz w:val="22"/>
          <w:szCs w:val="22"/>
        </w:rPr>
        <w:t>: Reaktion der Geldpolitik auf einen negativen Angebotsschock</w:t>
      </w:r>
      <w:bookmarkEnd w:id="6"/>
      <w:bookmarkEnd w:id="7"/>
      <w:bookmarkEnd w:id="8"/>
    </w:p>
    <w:p w14:paraId="042D4066" w14:textId="77777777" w:rsidR="008B6689" w:rsidRPr="009C5E44" w:rsidRDefault="008B6689" w:rsidP="008B6689">
      <w:pPr>
        <w:pStyle w:val="U4"/>
        <w:rPr>
          <w:sz w:val="22"/>
          <w:szCs w:val="22"/>
        </w:rPr>
      </w:pPr>
      <w:r w:rsidRPr="009C5E44">
        <w:rPr>
          <w:sz w:val="22"/>
          <w:szCs w:val="22"/>
        </w:rPr>
        <w:t>‚Optimale‘ Reaktion der Geldpolitik</w:t>
      </w:r>
    </w:p>
    <w:p w14:paraId="570C28AC" w14:textId="77777777" w:rsidR="008B6689" w:rsidRPr="009C5E44" w:rsidRDefault="008B6689" w:rsidP="008B6689">
      <w:pPr>
        <w:pStyle w:val="GS"/>
        <w:rPr>
          <w:sz w:val="22"/>
          <w:szCs w:val="22"/>
        </w:rPr>
      </w:pPr>
      <w:r w:rsidRPr="009C5E44">
        <w:rPr>
          <w:sz w:val="22"/>
          <w:szCs w:val="22"/>
        </w:rPr>
        <w:t xml:space="preserve">Die </w:t>
      </w:r>
      <w:r w:rsidR="005931D6" w:rsidRPr="009C5E44">
        <w:rPr>
          <w:sz w:val="22"/>
          <w:szCs w:val="22"/>
        </w:rPr>
        <w:t>„</w:t>
      </w:r>
      <w:r w:rsidRPr="009C5E44">
        <w:rPr>
          <w:sz w:val="22"/>
          <w:szCs w:val="22"/>
        </w:rPr>
        <w:t>optimale</w:t>
      </w:r>
      <w:r w:rsidR="005931D6" w:rsidRPr="009C5E44">
        <w:rPr>
          <w:sz w:val="22"/>
          <w:szCs w:val="22"/>
        </w:rPr>
        <w:t>“</w:t>
      </w:r>
      <w:r w:rsidRPr="009C5E44">
        <w:rPr>
          <w:sz w:val="22"/>
          <w:szCs w:val="22"/>
        </w:rPr>
        <w:t>‘ Reaktion der Geldpolitik auf makroökonomische Schocks ist u. a. davon abhängig, in welcher Problemsituation sich eine Volkswirtschaft befindet (Tab. </w:t>
      </w:r>
      <w:r w:rsidR="001B52A2" w:rsidRPr="009C5E44">
        <w:rPr>
          <w:sz w:val="22"/>
          <w:szCs w:val="22"/>
        </w:rPr>
        <w:t>E.</w:t>
      </w:r>
      <w:r w:rsidRPr="009C5E44">
        <w:rPr>
          <w:sz w:val="22"/>
          <w:szCs w:val="22"/>
        </w:rPr>
        <w:t>13.</w:t>
      </w:r>
      <w:r w:rsidR="001B52A2" w:rsidRPr="009C5E44">
        <w:rPr>
          <w:sz w:val="22"/>
          <w:szCs w:val="22"/>
        </w:rPr>
        <w:t>1</w:t>
      </w:r>
      <w:r w:rsidRPr="009C5E44">
        <w:rPr>
          <w:sz w:val="22"/>
          <w:szCs w:val="22"/>
        </w:rPr>
        <w:t xml:space="preserve">). Idealtypisch können wir folgende Situationen und Reaktionsmuster der Notenbank unterscheiden, wobei die EZB zwar verfassungsrechtlich vorrangig nur das Inflationsziel verfolgt, aber realwirtschaftliche Zielsetzungen Auswirkungen nicht völlig aus den Augen verliert. </w:t>
      </w:r>
    </w:p>
    <w:p w14:paraId="0881415A" w14:textId="77777777" w:rsidR="008B6689" w:rsidRPr="009C5E44" w:rsidRDefault="008B6689" w:rsidP="008B6689">
      <w:pPr>
        <w:pStyle w:val="Tab-U"/>
        <w:spacing w:before="120" w:after="120"/>
        <w:rPr>
          <w:sz w:val="22"/>
          <w:szCs w:val="22"/>
        </w:rPr>
      </w:pPr>
      <w:bookmarkStart w:id="9" w:name="_Toc367042696"/>
      <w:bookmarkStart w:id="10" w:name="_Toc367042830"/>
      <w:r w:rsidRPr="009C5E44">
        <w:rPr>
          <w:sz w:val="22"/>
          <w:szCs w:val="22"/>
        </w:rPr>
        <w:t>Tab. </w:t>
      </w:r>
      <w:r w:rsidR="001B52A2" w:rsidRPr="009C5E44">
        <w:rPr>
          <w:sz w:val="22"/>
          <w:szCs w:val="22"/>
        </w:rPr>
        <w:t>E.13.1</w:t>
      </w:r>
      <w:r w:rsidRPr="009C5E44">
        <w:rPr>
          <w:sz w:val="22"/>
          <w:szCs w:val="22"/>
        </w:rPr>
        <w:t>: Geldpolitik und makroökonomische Schocks</w:t>
      </w:r>
      <w:bookmarkEnd w:id="9"/>
      <w:bookmarkEnd w:id="10"/>
    </w:p>
    <w:tbl>
      <w:tblPr>
        <w:tblW w:w="5000" w:type="pct"/>
        <w:jc w:val="center"/>
        <w:tblCellMar>
          <w:left w:w="0" w:type="dxa"/>
          <w:right w:w="0" w:type="dxa"/>
        </w:tblCellMar>
        <w:tblLook w:val="0000" w:firstRow="0" w:lastRow="0" w:firstColumn="0" w:lastColumn="0" w:noHBand="0" w:noVBand="0"/>
      </w:tblPr>
      <w:tblGrid>
        <w:gridCol w:w="2115"/>
        <w:gridCol w:w="1792"/>
        <w:gridCol w:w="1421"/>
        <w:gridCol w:w="3734"/>
      </w:tblGrid>
      <w:tr w:rsidR="008B6689" w:rsidRPr="009C5E44" w14:paraId="07664857" w14:textId="77777777" w:rsidTr="00480501">
        <w:trPr>
          <w:trHeight w:val="170"/>
          <w:tblHeader/>
          <w:jc w:val="center"/>
        </w:trPr>
        <w:tc>
          <w:tcPr>
            <w:tcW w:w="1167"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61B4DEA1" w14:textId="77777777" w:rsidR="008B6689" w:rsidRPr="009C5E44" w:rsidRDefault="008B6689" w:rsidP="00480501">
            <w:pPr>
              <w:pStyle w:val="Tab-Kopf"/>
              <w:rPr>
                <w:sz w:val="18"/>
                <w:szCs w:val="18"/>
              </w:rPr>
            </w:pPr>
            <w:r w:rsidRPr="009C5E44">
              <w:rPr>
                <w:sz w:val="18"/>
                <w:szCs w:val="18"/>
              </w:rPr>
              <w:t>Problemsituation</w:t>
            </w:r>
          </w:p>
        </w:tc>
        <w:tc>
          <w:tcPr>
            <w:tcW w:w="989"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72CDA485" w14:textId="77777777" w:rsidR="008B6689" w:rsidRPr="009C5E44" w:rsidRDefault="008B6689" w:rsidP="00480501">
            <w:pPr>
              <w:pStyle w:val="Tab-Kopf"/>
              <w:rPr>
                <w:sz w:val="18"/>
                <w:szCs w:val="18"/>
              </w:rPr>
            </w:pPr>
            <w:r w:rsidRPr="009C5E44">
              <w:rPr>
                <w:sz w:val="18"/>
                <w:szCs w:val="18"/>
              </w:rPr>
              <w:t>Inflationsziel</w:t>
            </w:r>
          </w:p>
        </w:tc>
        <w:tc>
          <w:tcPr>
            <w:tcW w:w="784"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562D80F2" w14:textId="77777777" w:rsidR="008B6689" w:rsidRPr="009C5E44" w:rsidRDefault="005931D6" w:rsidP="00480501">
            <w:pPr>
              <w:pStyle w:val="Tab-Kopf"/>
              <w:rPr>
                <w:sz w:val="18"/>
                <w:szCs w:val="18"/>
              </w:rPr>
            </w:pPr>
            <w:r w:rsidRPr="009C5E44">
              <w:rPr>
                <w:sz w:val="18"/>
                <w:szCs w:val="18"/>
              </w:rPr>
              <w:t>r</w:t>
            </w:r>
            <w:r w:rsidR="008B6689" w:rsidRPr="009C5E44">
              <w:rPr>
                <w:sz w:val="18"/>
                <w:szCs w:val="18"/>
              </w:rPr>
              <w:t>eales BIP</w:t>
            </w:r>
          </w:p>
        </w:tc>
        <w:tc>
          <w:tcPr>
            <w:tcW w:w="2060"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2AB89CDB" w14:textId="77777777" w:rsidR="008B6689" w:rsidRPr="009C5E44" w:rsidRDefault="008B6689" w:rsidP="00480501">
            <w:pPr>
              <w:pStyle w:val="Tab-Kopf"/>
              <w:rPr>
                <w:sz w:val="18"/>
                <w:szCs w:val="18"/>
              </w:rPr>
            </w:pPr>
            <w:r w:rsidRPr="009C5E44">
              <w:rPr>
                <w:sz w:val="18"/>
                <w:szCs w:val="18"/>
              </w:rPr>
              <w:t>Reaktionsweise</w:t>
            </w:r>
          </w:p>
        </w:tc>
      </w:tr>
      <w:tr w:rsidR="008B6689" w:rsidRPr="009C5E44" w14:paraId="1887922A" w14:textId="77777777" w:rsidTr="00480501">
        <w:trPr>
          <w:trHeight w:val="170"/>
          <w:jc w:val="center"/>
        </w:trPr>
        <w:tc>
          <w:tcPr>
            <w:tcW w:w="11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9F1EFB8" w14:textId="77777777" w:rsidR="008B6689" w:rsidRPr="009C5E44" w:rsidRDefault="008B6689" w:rsidP="00480501">
            <w:pPr>
              <w:pStyle w:val="Tab-Text"/>
              <w:rPr>
                <w:sz w:val="18"/>
                <w:szCs w:val="18"/>
              </w:rPr>
            </w:pPr>
            <w:r w:rsidRPr="009C5E44">
              <w:rPr>
                <w:sz w:val="18"/>
                <w:szCs w:val="18"/>
              </w:rPr>
              <w:t>negativer Nachfrageschock</w:t>
            </w:r>
          </w:p>
        </w:tc>
        <w:tc>
          <w:tcPr>
            <w:tcW w:w="9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18655F0" w14:textId="77777777" w:rsidR="008B6689" w:rsidRPr="009C5E44" w:rsidRDefault="008B6689" w:rsidP="00480501">
            <w:pPr>
              <w:pStyle w:val="Tab-Text"/>
              <w:rPr>
                <w:sz w:val="18"/>
                <w:szCs w:val="18"/>
              </w:rPr>
            </w:pPr>
            <w:r w:rsidRPr="009C5E44">
              <w:rPr>
                <w:sz w:val="18"/>
                <w:szCs w:val="18"/>
              </w:rPr>
              <w:t>unterschritten</w:t>
            </w:r>
          </w:p>
        </w:tc>
        <w:tc>
          <w:tcPr>
            <w:tcW w:w="78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99BA7D7" w14:textId="77777777" w:rsidR="008B6689" w:rsidRPr="009C5E44" w:rsidRDefault="008B6689" w:rsidP="00480501">
            <w:pPr>
              <w:pStyle w:val="Tab-Text"/>
              <w:rPr>
                <w:sz w:val="18"/>
                <w:szCs w:val="18"/>
              </w:rPr>
            </w:pPr>
            <w:r w:rsidRPr="009C5E44">
              <w:rPr>
                <w:sz w:val="18"/>
                <w:szCs w:val="18"/>
              </w:rPr>
              <w:t>rückläufig</w:t>
            </w:r>
          </w:p>
        </w:tc>
        <w:tc>
          <w:tcPr>
            <w:tcW w:w="2060"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38299CD" w14:textId="77777777" w:rsidR="008B6689" w:rsidRPr="009C5E44" w:rsidRDefault="008B6689" w:rsidP="00480501">
            <w:pPr>
              <w:pStyle w:val="Tab-Text"/>
              <w:rPr>
                <w:sz w:val="18"/>
                <w:szCs w:val="18"/>
              </w:rPr>
            </w:pPr>
            <w:r w:rsidRPr="009C5E44">
              <w:rPr>
                <w:sz w:val="18"/>
                <w:szCs w:val="18"/>
              </w:rPr>
              <w:t xml:space="preserve">expansive Geldpolitik, </w:t>
            </w:r>
          </w:p>
          <w:p w14:paraId="54533E3D" w14:textId="77777777" w:rsidR="008B6689" w:rsidRPr="009C5E44" w:rsidRDefault="008B6689" w:rsidP="00480501">
            <w:pPr>
              <w:pStyle w:val="Tab-Text"/>
              <w:rPr>
                <w:sz w:val="18"/>
                <w:szCs w:val="18"/>
              </w:rPr>
            </w:pPr>
            <w:r w:rsidRPr="009C5E44">
              <w:rPr>
                <w:sz w:val="18"/>
                <w:szCs w:val="18"/>
              </w:rPr>
              <w:t>z. B. Senkung der Leitzinsen</w:t>
            </w:r>
          </w:p>
        </w:tc>
      </w:tr>
      <w:tr w:rsidR="008B6689" w:rsidRPr="009C5E44" w14:paraId="1EA0C971" w14:textId="77777777" w:rsidTr="00480501">
        <w:trPr>
          <w:trHeight w:val="170"/>
          <w:jc w:val="center"/>
        </w:trPr>
        <w:tc>
          <w:tcPr>
            <w:tcW w:w="11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3FF0D3B" w14:textId="77777777" w:rsidR="008B6689" w:rsidRPr="009C5E44" w:rsidRDefault="008B6689" w:rsidP="00480501">
            <w:pPr>
              <w:pStyle w:val="Tab-Text"/>
              <w:rPr>
                <w:sz w:val="18"/>
                <w:szCs w:val="18"/>
              </w:rPr>
            </w:pPr>
            <w:r w:rsidRPr="009C5E44">
              <w:rPr>
                <w:sz w:val="18"/>
                <w:szCs w:val="18"/>
              </w:rPr>
              <w:t>positiver Nachfrageschock</w:t>
            </w:r>
          </w:p>
        </w:tc>
        <w:tc>
          <w:tcPr>
            <w:tcW w:w="9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AAB5E36" w14:textId="77777777" w:rsidR="008B6689" w:rsidRPr="009C5E44" w:rsidRDefault="008B6689" w:rsidP="00480501">
            <w:pPr>
              <w:pStyle w:val="Tab-Text"/>
              <w:rPr>
                <w:sz w:val="18"/>
                <w:szCs w:val="18"/>
              </w:rPr>
            </w:pPr>
            <w:r w:rsidRPr="009C5E44">
              <w:rPr>
                <w:sz w:val="18"/>
                <w:szCs w:val="18"/>
              </w:rPr>
              <w:t>verfehlt</w:t>
            </w:r>
          </w:p>
        </w:tc>
        <w:tc>
          <w:tcPr>
            <w:tcW w:w="78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B4A05EC" w14:textId="77777777" w:rsidR="008B6689" w:rsidRPr="009C5E44" w:rsidRDefault="008B6689" w:rsidP="00480501">
            <w:pPr>
              <w:pStyle w:val="Tab-Text"/>
              <w:rPr>
                <w:sz w:val="18"/>
                <w:szCs w:val="18"/>
              </w:rPr>
            </w:pPr>
            <w:r w:rsidRPr="009C5E44">
              <w:rPr>
                <w:sz w:val="18"/>
                <w:szCs w:val="18"/>
              </w:rPr>
              <w:t>ansteigend</w:t>
            </w:r>
          </w:p>
        </w:tc>
        <w:tc>
          <w:tcPr>
            <w:tcW w:w="2060"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1D21371" w14:textId="77777777" w:rsidR="008B6689" w:rsidRPr="009C5E44" w:rsidRDefault="008B6689" w:rsidP="00480501">
            <w:pPr>
              <w:pStyle w:val="Tab-Text"/>
              <w:rPr>
                <w:sz w:val="18"/>
                <w:szCs w:val="18"/>
              </w:rPr>
            </w:pPr>
            <w:r w:rsidRPr="009C5E44">
              <w:rPr>
                <w:sz w:val="18"/>
                <w:szCs w:val="18"/>
              </w:rPr>
              <w:t xml:space="preserve">im Zweifel restriktive Geldpolitik, </w:t>
            </w:r>
          </w:p>
          <w:p w14:paraId="43408E52" w14:textId="77777777" w:rsidR="008B6689" w:rsidRPr="009C5E44" w:rsidRDefault="008B6689" w:rsidP="00480501">
            <w:pPr>
              <w:pStyle w:val="Tab-Text"/>
              <w:rPr>
                <w:sz w:val="18"/>
                <w:szCs w:val="18"/>
              </w:rPr>
            </w:pPr>
            <w:r w:rsidRPr="009C5E44">
              <w:rPr>
                <w:sz w:val="18"/>
                <w:szCs w:val="18"/>
              </w:rPr>
              <w:t>z. B. Erhöhung der Leitzinsen</w:t>
            </w:r>
          </w:p>
        </w:tc>
      </w:tr>
      <w:tr w:rsidR="008B6689" w:rsidRPr="009C5E44" w14:paraId="6F17598E" w14:textId="77777777" w:rsidTr="00480501">
        <w:trPr>
          <w:trHeight w:val="170"/>
          <w:jc w:val="center"/>
        </w:trPr>
        <w:tc>
          <w:tcPr>
            <w:tcW w:w="11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95CABE0" w14:textId="77777777" w:rsidR="008B6689" w:rsidRPr="009C5E44" w:rsidRDefault="008B6689" w:rsidP="00480501">
            <w:pPr>
              <w:pStyle w:val="Tab-Text"/>
              <w:rPr>
                <w:sz w:val="18"/>
                <w:szCs w:val="18"/>
              </w:rPr>
            </w:pPr>
            <w:r w:rsidRPr="009C5E44">
              <w:rPr>
                <w:sz w:val="18"/>
                <w:szCs w:val="18"/>
              </w:rPr>
              <w:t>negativer Angebotsschock</w:t>
            </w:r>
          </w:p>
        </w:tc>
        <w:tc>
          <w:tcPr>
            <w:tcW w:w="9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33A7038" w14:textId="77777777" w:rsidR="008B6689" w:rsidRPr="009C5E44" w:rsidRDefault="008B6689" w:rsidP="00480501">
            <w:pPr>
              <w:pStyle w:val="Tab-Text"/>
              <w:rPr>
                <w:sz w:val="18"/>
                <w:szCs w:val="18"/>
              </w:rPr>
            </w:pPr>
            <w:r w:rsidRPr="009C5E44">
              <w:rPr>
                <w:sz w:val="18"/>
                <w:szCs w:val="18"/>
              </w:rPr>
              <w:t>verfehlt</w:t>
            </w:r>
          </w:p>
        </w:tc>
        <w:tc>
          <w:tcPr>
            <w:tcW w:w="78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3EFBE87" w14:textId="77777777" w:rsidR="008B6689" w:rsidRPr="009C5E44" w:rsidRDefault="008B6689" w:rsidP="00480501">
            <w:pPr>
              <w:pStyle w:val="Tab-Text"/>
              <w:rPr>
                <w:sz w:val="18"/>
                <w:szCs w:val="18"/>
              </w:rPr>
            </w:pPr>
            <w:r w:rsidRPr="009C5E44">
              <w:rPr>
                <w:sz w:val="18"/>
                <w:szCs w:val="18"/>
              </w:rPr>
              <w:t>rückläufig</w:t>
            </w:r>
          </w:p>
        </w:tc>
        <w:tc>
          <w:tcPr>
            <w:tcW w:w="2060"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F6D24FF" w14:textId="77777777" w:rsidR="008B6689" w:rsidRPr="009C5E44" w:rsidRDefault="008B6689" w:rsidP="00480501">
            <w:pPr>
              <w:pStyle w:val="Tab-Text"/>
              <w:rPr>
                <w:sz w:val="18"/>
                <w:szCs w:val="18"/>
              </w:rPr>
            </w:pPr>
            <w:r w:rsidRPr="009C5E44">
              <w:rPr>
                <w:sz w:val="18"/>
                <w:szCs w:val="18"/>
              </w:rPr>
              <w:t xml:space="preserve">Zielkonflikt; </w:t>
            </w:r>
          </w:p>
          <w:p w14:paraId="79313050" w14:textId="77777777" w:rsidR="008B6689" w:rsidRPr="009C5E44" w:rsidRDefault="008B6689" w:rsidP="00480501">
            <w:pPr>
              <w:pStyle w:val="Tab-Text"/>
              <w:rPr>
                <w:sz w:val="18"/>
                <w:szCs w:val="18"/>
              </w:rPr>
            </w:pPr>
            <w:r w:rsidRPr="009C5E44">
              <w:rPr>
                <w:sz w:val="18"/>
                <w:szCs w:val="18"/>
              </w:rPr>
              <w:t>Kompromisslinie wahrscheinlich</w:t>
            </w:r>
          </w:p>
        </w:tc>
      </w:tr>
      <w:tr w:rsidR="008B6689" w:rsidRPr="00072F34" w14:paraId="19D3B2D7" w14:textId="77777777" w:rsidTr="00480501">
        <w:trPr>
          <w:trHeight w:val="170"/>
          <w:jc w:val="center"/>
        </w:trPr>
        <w:tc>
          <w:tcPr>
            <w:tcW w:w="116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DD39D63" w14:textId="77777777" w:rsidR="008B6689" w:rsidRPr="009C5E44" w:rsidRDefault="008B6689" w:rsidP="00480501">
            <w:pPr>
              <w:pStyle w:val="Tab-Text"/>
              <w:rPr>
                <w:sz w:val="18"/>
                <w:szCs w:val="18"/>
              </w:rPr>
            </w:pPr>
            <w:r w:rsidRPr="009C5E44">
              <w:rPr>
                <w:sz w:val="18"/>
                <w:szCs w:val="18"/>
              </w:rPr>
              <w:t>positiver Angebotsschock</w:t>
            </w:r>
          </w:p>
        </w:tc>
        <w:tc>
          <w:tcPr>
            <w:tcW w:w="989"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A49C218" w14:textId="77777777" w:rsidR="008B6689" w:rsidRPr="009C5E44" w:rsidRDefault="008B6689" w:rsidP="00480501">
            <w:pPr>
              <w:pStyle w:val="Tab-Text"/>
              <w:rPr>
                <w:sz w:val="18"/>
                <w:szCs w:val="18"/>
              </w:rPr>
            </w:pPr>
            <w:r w:rsidRPr="009C5E44">
              <w:rPr>
                <w:sz w:val="18"/>
                <w:szCs w:val="18"/>
              </w:rPr>
              <w:t>erreicht</w:t>
            </w:r>
          </w:p>
        </w:tc>
        <w:tc>
          <w:tcPr>
            <w:tcW w:w="78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AA7F88C" w14:textId="77777777" w:rsidR="008B6689" w:rsidRPr="009C5E44" w:rsidRDefault="008B6689" w:rsidP="00480501">
            <w:pPr>
              <w:pStyle w:val="Tab-Text"/>
              <w:rPr>
                <w:sz w:val="18"/>
                <w:szCs w:val="18"/>
              </w:rPr>
            </w:pPr>
            <w:r w:rsidRPr="009C5E44">
              <w:rPr>
                <w:sz w:val="18"/>
                <w:szCs w:val="18"/>
              </w:rPr>
              <w:t>ansteigend</w:t>
            </w:r>
          </w:p>
        </w:tc>
        <w:tc>
          <w:tcPr>
            <w:tcW w:w="2060"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8F6E6EF" w14:textId="77777777" w:rsidR="008B6689" w:rsidRPr="009C5E44" w:rsidRDefault="008B6689" w:rsidP="00480501">
            <w:pPr>
              <w:pStyle w:val="Tab-Text"/>
              <w:rPr>
                <w:sz w:val="18"/>
                <w:szCs w:val="18"/>
              </w:rPr>
            </w:pPr>
            <w:r w:rsidRPr="009C5E44">
              <w:rPr>
                <w:sz w:val="18"/>
                <w:szCs w:val="18"/>
              </w:rPr>
              <w:t xml:space="preserve">Zielkomplementarität; </w:t>
            </w:r>
          </w:p>
          <w:p w14:paraId="03060AA9" w14:textId="77777777" w:rsidR="008B6689" w:rsidRPr="00072F34" w:rsidRDefault="008B6689" w:rsidP="00480501">
            <w:pPr>
              <w:pStyle w:val="Tab-Text"/>
              <w:rPr>
                <w:sz w:val="18"/>
                <w:szCs w:val="18"/>
              </w:rPr>
            </w:pPr>
            <w:r w:rsidRPr="009C5E44">
              <w:rPr>
                <w:sz w:val="18"/>
                <w:szCs w:val="18"/>
              </w:rPr>
              <w:t>keine aktive Geldpolitik notwendig</w:t>
            </w:r>
          </w:p>
        </w:tc>
      </w:tr>
    </w:tbl>
    <w:p w14:paraId="6980937C" w14:textId="77777777" w:rsidR="00B766CC" w:rsidRDefault="00B766CC" w:rsidP="005931D6">
      <w:pPr>
        <w:pStyle w:val="Tab-U"/>
        <w:spacing w:before="120"/>
      </w:pPr>
    </w:p>
    <w:sectPr w:rsidR="00B766CC">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88949" w14:textId="77777777" w:rsidR="009C5E44" w:rsidRDefault="009C5E44" w:rsidP="009C5E44">
      <w:r>
        <w:separator/>
      </w:r>
    </w:p>
  </w:endnote>
  <w:endnote w:type="continuationSeparator" w:id="0">
    <w:p w14:paraId="778503DC" w14:textId="77777777" w:rsidR="009C5E44" w:rsidRDefault="009C5E44" w:rsidP="009C5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7B930" w14:textId="77777777" w:rsidR="009C5E44" w:rsidRDefault="009C5E44" w:rsidP="009C5E44">
      <w:r>
        <w:separator/>
      </w:r>
    </w:p>
  </w:footnote>
  <w:footnote w:type="continuationSeparator" w:id="0">
    <w:p w14:paraId="2451405D" w14:textId="77777777" w:rsidR="009C5E44" w:rsidRDefault="009C5E44" w:rsidP="009C5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562112"/>
      <w:docPartObj>
        <w:docPartGallery w:val="Page Numbers (Top of Page)"/>
        <w:docPartUnique/>
      </w:docPartObj>
    </w:sdtPr>
    <w:sdtContent>
      <w:p w14:paraId="3B36AB91" w14:textId="3BD1E1C7" w:rsidR="009C5E44" w:rsidRDefault="009C5E44">
        <w:pPr>
          <w:pStyle w:val="Kopfzeile"/>
          <w:jc w:val="right"/>
        </w:pPr>
        <w:r>
          <w:fldChar w:fldCharType="begin"/>
        </w:r>
        <w:r>
          <w:instrText>PAGE   \* MERGEFORMAT</w:instrText>
        </w:r>
        <w:r>
          <w:fldChar w:fldCharType="separate"/>
        </w:r>
        <w:r>
          <w:t>2</w:t>
        </w:r>
        <w:r>
          <w:fldChar w:fldCharType="end"/>
        </w:r>
      </w:p>
    </w:sdtContent>
  </w:sdt>
  <w:p w14:paraId="72806DD5" w14:textId="77777777" w:rsidR="009C5E44" w:rsidRDefault="009C5E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F4EE4"/>
    <w:multiLevelType w:val="hybridMultilevel"/>
    <w:tmpl w:val="764A6C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B32247"/>
    <w:multiLevelType w:val="hybridMultilevel"/>
    <w:tmpl w:val="73E21500"/>
    <w:lvl w:ilvl="0" w:tplc="0C2A20E8">
      <w:start w:val="1"/>
      <w:numFmt w:val="bullet"/>
      <w:pStyle w:val="Schlagwrter"/>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6404270">
    <w:abstractNumId w:val="1"/>
  </w:num>
  <w:num w:numId="2" w16cid:durableId="2146467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689"/>
    <w:rsid w:val="00072F34"/>
    <w:rsid w:val="001020D9"/>
    <w:rsid w:val="001B52A2"/>
    <w:rsid w:val="001F024D"/>
    <w:rsid w:val="001F2A8D"/>
    <w:rsid w:val="00202321"/>
    <w:rsid w:val="00205522"/>
    <w:rsid w:val="003131ED"/>
    <w:rsid w:val="003D51EB"/>
    <w:rsid w:val="004B79BB"/>
    <w:rsid w:val="00526B75"/>
    <w:rsid w:val="00542639"/>
    <w:rsid w:val="005931D6"/>
    <w:rsid w:val="006277F4"/>
    <w:rsid w:val="00634B59"/>
    <w:rsid w:val="00717242"/>
    <w:rsid w:val="007342FD"/>
    <w:rsid w:val="0074619A"/>
    <w:rsid w:val="007B68A9"/>
    <w:rsid w:val="008376F7"/>
    <w:rsid w:val="008B6689"/>
    <w:rsid w:val="008F70C6"/>
    <w:rsid w:val="009C5E44"/>
    <w:rsid w:val="009E21E2"/>
    <w:rsid w:val="00A61122"/>
    <w:rsid w:val="00AC41FF"/>
    <w:rsid w:val="00B57A99"/>
    <w:rsid w:val="00B766CC"/>
    <w:rsid w:val="00B8342C"/>
    <w:rsid w:val="00C71AAE"/>
    <w:rsid w:val="00C86B1B"/>
    <w:rsid w:val="00CF1C44"/>
    <w:rsid w:val="00D009DF"/>
    <w:rsid w:val="00D97889"/>
    <w:rsid w:val="00DB78B7"/>
    <w:rsid w:val="00E27EED"/>
    <w:rsid w:val="00EB1F00"/>
    <w:rsid w:val="00F22910"/>
    <w:rsid w:val="00FF7A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BBA06"/>
  <w15:chartTrackingRefBased/>
  <w15:docId w15:val="{8E8ADC63-9108-4A82-82D9-6C311B35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6689"/>
    <w:pPr>
      <w:spacing w:after="0" w:line="240" w:lineRule="auto"/>
    </w:pPr>
    <w:rPr>
      <w:rFonts w:ascii="Calibri" w:eastAsia="Times New Roman"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S">
    <w:name w:val="GS"/>
    <w:basedOn w:val="Standard"/>
    <w:uiPriority w:val="99"/>
    <w:rsid w:val="008B6689"/>
    <w:pPr>
      <w:widowControl w:val="0"/>
      <w:autoSpaceDE w:val="0"/>
      <w:autoSpaceDN w:val="0"/>
      <w:adjustRightInd w:val="0"/>
      <w:spacing w:before="60" w:line="223" w:lineRule="atLeast"/>
      <w:jc w:val="both"/>
      <w:textAlignment w:val="center"/>
    </w:pPr>
    <w:rPr>
      <w:rFonts w:ascii="Times New Roman" w:hAnsi="Times New Roman"/>
      <w:color w:val="000000"/>
      <w:sz w:val="18"/>
      <w:szCs w:val="18"/>
    </w:rPr>
  </w:style>
  <w:style w:type="paragraph" w:customStyle="1" w:styleId="GS-Ebene1Punkt">
    <w:name w:val="GS - Ebene 1 (Punkt)"/>
    <w:basedOn w:val="GS"/>
    <w:uiPriority w:val="99"/>
    <w:rsid w:val="008B6689"/>
    <w:pPr>
      <w:ind w:left="227" w:hanging="227"/>
    </w:pPr>
  </w:style>
  <w:style w:type="paragraph" w:customStyle="1" w:styleId="U4">
    <w:name w:val="U4"/>
    <w:basedOn w:val="Standard"/>
    <w:uiPriority w:val="99"/>
    <w:rsid w:val="008B6689"/>
    <w:pPr>
      <w:keepNext/>
      <w:keepLines/>
      <w:widowControl w:val="0"/>
      <w:autoSpaceDE w:val="0"/>
      <w:autoSpaceDN w:val="0"/>
      <w:adjustRightInd w:val="0"/>
      <w:spacing w:before="163" w:after="60" w:line="223" w:lineRule="atLeast"/>
      <w:textAlignment w:val="center"/>
    </w:pPr>
    <w:rPr>
      <w:rFonts w:ascii="Arial" w:hAnsi="Arial" w:cs="Arial"/>
      <w:i/>
      <w:iCs/>
      <w:color w:val="000000"/>
      <w:sz w:val="18"/>
      <w:szCs w:val="18"/>
    </w:rPr>
  </w:style>
  <w:style w:type="paragraph" w:customStyle="1" w:styleId="BU">
    <w:name w:val="BU"/>
    <w:basedOn w:val="Standard"/>
    <w:uiPriority w:val="99"/>
    <w:rsid w:val="008B6689"/>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191" w:lineRule="atLeast"/>
      <w:jc w:val="center"/>
      <w:textAlignment w:val="center"/>
    </w:pPr>
    <w:rPr>
      <w:rFonts w:ascii="Arial" w:hAnsi="Arial" w:cs="Arial"/>
      <w:i/>
      <w:iCs/>
      <w:color w:val="000000"/>
      <w:sz w:val="16"/>
      <w:szCs w:val="16"/>
    </w:rPr>
  </w:style>
  <w:style w:type="paragraph" w:customStyle="1" w:styleId="U3-111">
    <w:name w:val="U3 - 1.1.1"/>
    <w:basedOn w:val="Standard"/>
    <w:uiPriority w:val="99"/>
    <w:rsid w:val="008B6689"/>
    <w:pPr>
      <w:keepNext/>
      <w:keepLines/>
      <w:widowControl w:val="0"/>
      <w:autoSpaceDE w:val="0"/>
      <w:autoSpaceDN w:val="0"/>
      <w:adjustRightInd w:val="0"/>
      <w:spacing w:before="163" w:after="112" w:line="245" w:lineRule="atLeast"/>
      <w:textAlignment w:val="center"/>
    </w:pPr>
    <w:rPr>
      <w:rFonts w:ascii="Arial" w:hAnsi="Arial" w:cs="Arial"/>
      <w:i/>
      <w:iCs/>
      <w:color w:val="000000"/>
      <w:sz w:val="20"/>
      <w:szCs w:val="20"/>
    </w:rPr>
  </w:style>
  <w:style w:type="paragraph" w:customStyle="1" w:styleId="Tab-U">
    <w:name w:val="Tab-U"/>
    <w:basedOn w:val="Standard"/>
    <w:uiPriority w:val="99"/>
    <w:rsid w:val="008B6689"/>
    <w:pPr>
      <w:widowControl w:val="0"/>
      <w:autoSpaceDE w:val="0"/>
      <w:autoSpaceDN w:val="0"/>
      <w:adjustRightInd w:val="0"/>
      <w:spacing w:before="360" w:line="191" w:lineRule="atLeast"/>
      <w:jc w:val="center"/>
      <w:textAlignment w:val="center"/>
    </w:pPr>
    <w:rPr>
      <w:rFonts w:ascii="Arial" w:hAnsi="Arial" w:cs="Arial"/>
      <w:i/>
      <w:iCs/>
      <w:color w:val="000000"/>
      <w:sz w:val="16"/>
      <w:szCs w:val="16"/>
    </w:rPr>
  </w:style>
  <w:style w:type="paragraph" w:customStyle="1" w:styleId="Tab-Text">
    <w:name w:val="Tab-Text"/>
    <w:basedOn w:val="Standard"/>
    <w:uiPriority w:val="99"/>
    <w:rsid w:val="008B6689"/>
    <w:pPr>
      <w:widowControl w:val="0"/>
      <w:autoSpaceDE w:val="0"/>
      <w:autoSpaceDN w:val="0"/>
      <w:adjustRightInd w:val="0"/>
      <w:spacing w:line="191" w:lineRule="atLeast"/>
      <w:textAlignment w:val="center"/>
    </w:pPr>
    <w:rPr>
      <w:rFonts w:ascii="Arial" w:hAnsi="Arial" w:cs="Arial"/>
      <w:color w:val="000000"/>
      <w:sz w:val="16"/>
      <w:szCs w:val="16"/>
    </w:rPr>
  </w:style>
  <w:style w:type="paragraph" w:customStyle="1" w:styleId="Tab-Kopf">
    <w:name w:val="Tab-Kopf"/>
    <w:basedOn w:val="Tab-Text"/>
    <w:uiPriority w:val="99"/>
    <w:rsid w:val="008B6689"/>
    <w:rPr>
      <w:b/>
      <w:bCs/>
    </w:rPr>
  </w:style>
  <w:style w:type="paragraph" w:customStyle="1" w:styleId="Schlagwrter">
    <w:name w:val="Schlagwörter"/>
    <w:basedOn w:val="Tab-Text"/>
    <w:uiPriority w:val="99"/>
    <w:rsid w:val="008B6689"/>
    <w:pPr>
      <w:numPr>
        <w:numId w:val="1"/>
      </w:numPr>
      <w:ind w:left="227" w:hanging="227"/>
    </w:pPr>
  </w:style>
  <w:style w:type="paragraph" w:styleId="Kopfzeile">
    <w:name w:val="header"/>
    <w:basedOn w:val="Standard"/>
    <w:link w:val="KopfzeileZchn"/>
    <w:uiPriority w:val="99"/>
    <w:unhideWhenUsed/>
    <w:rsid w:val="009C5E44"/>
    <w:pPr>
      <w:tabs>
        <w:tab w:val="center" w:pos="4536"/>
        <w:tab w:val="right" w:pos="9072"/>
      </w:tabs>
    </w:pPr>
  </w:style>
  <w:style w:type="character" w:customStyle="1" w:styleId="KopfzeileZchn">
    <w:name w:val="Kopfzeile Zchn"/>
    <w:basedOn w:val="Absatz-Standardschriftart"/>
    <w:link w:val="Kopfzeile"/>
    <w:uiPriority w:val="99"/>
    <w:rsid w:val="009C5E44"/>
    <w:rPr>
      <w:rFonts w:ascii="Calibri" w:eastAsia="Times New Roman" w:hAnsi="Calibri" w:cs="Times New Roman"/>
      <w:lang w:eastAsia="de-DE"/>
    </w:rPr>
  </w:style>
  <w:style w:type="paragraph" w:styleId="Fuzeile">
    <w:name w:val="footer"/>
    <w:basedOn w:val="Standard"/>
    <w:link w:val="FuzeileZchn"/>
    <w:uiPriority w:val="99"/>
    <w:unhideWhenUsed/>
    <w:rsid w:val="009C5E44"/>
    <w:pPr>
      <w:tabs>
        <w:tab w:val="center" w:pos="4536"/>
        <w:tab w:val="right" w:pos="9072"/>
      </w:tabs>
    </w:pPr>
  </w:style>
  <w:style w:type="character" w:customStyle="1" w:styleId="FuzeileZchn">
    <w:name w:val="Fußzeile Zchn"/>
    <w:basedOn w:val="Absatz-Standardschriftart"/>
    <w:link w:val="Fuzeile"/>
    <w:uiPriority w:val="99"/>
    <w:rsid w:val="009C5E44"/>
    <w:rPr>
      <w:rFonts w:ascii="Calibri" w:eastAsia="Times New Roman" w:hAnsi="Calibri"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1225</Words>
  <Characters>7719</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Technische Hochschule Köln</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Kiy</dc:creator>
  <cp:keywords/>
  <dc:description/>
  <cp:lastModifiedBy>Agnieszka Gehringer</cp:lastModifiedBy>
  <cp:revision>27</cp:revision>
  <dcterms:created xsi:type="dcterms:W3CDTF">2022-07-12T10:27:00Z</dcterms:created>
  <dcterms:modified xsi:type="dcterms:W3CDTF">2023-03-08T08:00:00Z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2023-02-19T13:26:48Z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5ce01179-c4b1-4522-8eea-ef37b106fc77</vt:lpwstr>
  </property>
  <property fmtid="{D5CDD505-2E9C-101B-9397-08002B2CF9AE}" pid="8" name="MSIP_Label_e31ac907-69c7-41f8-b132-f74e8ef934a2_ContentBits">
    <vt:lpwstr>0</vt:lpwstr>
  </property>
</Properties>
</file>